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DC" w:rsidRPr="003902DC" w:rsidRDefault="003902DC" w:rsidP="003902DC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3902DC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DEFINITIONS</w:t>
      </w:r>
    </w:p>
    <w:p w:rsidR="003902DC" w:rsidRPr="003902DC" w:rsidRDefault="003902DC" w:rsidP="003902DC">
      <w:pPr>
        <w:spacing w:after="30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Purchase Requisition (PR)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 purchase requisition is a statement of organizational need for procurement. The information contained in a purchase requisition will be used to create a purchasing document.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Purchase Order ( PO)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 purchase order is a legally binding document and is used as an independent purchasing document to obtain commodities, or as an “ordering” document used against an existing contract (e.g. state contract).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Service Purchase Contract (SPC)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 service purchase contract is a legally binding document and is generally used to obtain straightforward purchases of services. Services that involve many detailed terms and conditions are procured using a blue-back contract.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Blue-Back Contract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 blue-back contract is a legally binding document and is used to obtain services where the contract amount is in excess of $19,100 and where the terms are too detailed or complex to fit on the face of a SPC.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Service Bid Contract (SBC)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 service bid contract is a legally binding document and is used as a bidding document to obtain services where the contract amount is in excess of $19,100. The SBC serves as both a bidding document and a contract document.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Memorandum of Understanding (MOU)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 xml:space="preserve">Agreements between </w:t>
      </w:r>
      <w:proofErr w:type="gramStart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>Commonwealth</w:t>
      </w:r>
      <w:proofErr w:type="gramEnd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agencies are generally exempt from Attorney General review, but not from PASSHE legal counsel's review. Agreements with independent Commonwealth agencies are subject to Attorney General </w:t>
      </w:r>
      <w:proofErr w:type="gramStart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>review</w:t>
      </w:r>
      <w:proofErr w:type="gramEnd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>. Bidding is not required.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Agreements within the Pennsylvania State System of Higher Education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Agreements between PASSHE universities are not contracts. The entire arrangement should be treated as an internal transaction. Bidding is not required. The parties should formalize their expectations in a written agreement between the authorized employees at the appropriate levels of authority.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Invitation for Bid (IFB)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An IFB also known as a competitive sealed bid allows interested vendors to submit written bids defining the cost at which they are willing to provide a commodity. In this process, assuming compliance with the specifications, cost is the only basis for selection. In general an IFB is issued as a service bid contract form (SBC).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Request for Proposals (RFP)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 xml:space="preserve">An RFP is used when a department is seeking a vendor's solution for providing a commodity and believes that giving </w:t>
      </w:r>
      <w:proofErr w:type="gramStart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>vendors</w:t>
      </w:r>
      <w:proofErr w:type="gramEnd"/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flexibility in proposing the solution will be to the department’s advantage. In response to a vendor's proposal, terms of performance will be negotiated with the vendor who was selected on the basis of the quality of their proposal – considering not just cost but also technical merit.</w:t>
      </w:r>
    </w:p>
    <w:p w:rsidR="003902DC" w:rsidRPr="003902DC" w:rsidRDefault="003902DC" w:rsidP="003902DC">
      <w:pPr>
        <w:spacing w:after="300" w:line="24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902D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lastRenderedPageBreak/>
        <w:t>Request for Quotes (RFQ) </w:t>
      </w:r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An RFQ is generally used to solicit quotes against state contract or from qualified vendors who are part of an existing ITQ solicitation.</w:t>
      </w:r>
    </w:p>
    <w:p w:rsidR="009464BD" w:rsidRDefault="003902DC" w:rsidP="003902DC">
      <w:r w:rsidRPr="003902DC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bookmarkStart w:id="0" w:name="_GoBack"/>
      <w:bookmarkEnd w:id="0"/>
    </w:p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C"/>
    <w:rsid w:val="003902DC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B8BD-9F6B-453B-A87A-1984C31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1</cp:revision>
  <dcterms:created xsi:type="dcterms:W3CDTF">2018-07-30T18:33:00Z</dcterms:created>
  <dcterms:modified xsi:type="dcterms:W3CDTF">2018-07-30T18:33:00Z</dcterms:modified>
</cp:coreProperties>
</file>