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Cheyney University Procurement Guidelines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334190" w:rsidRPr="00FA2172" w:rsidRDefault="00334190" w:rsidP="00334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INTRODUCTION</w:t>
      </w:r>
    </w:p>
    <w:p w:rsidR="00334190" w:rsidRPr="00FA2172" w:rsidRDefault="00334190" w:rsidP="0033419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Procurement Services strives to make the procurement of all goods and services as simple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and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efficient as legally possible. Our role is to establish institutional guidelines and prudent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business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practices for the procurement of goods and services in accordance with the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Commonwealth of Pennsylvania Procurement Code (Act 57 of 1998) and the Pennsylvania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State System of Higher Education polices. At the same time attempt to find legal solutions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and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strategies to help expedite and simplify the process.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POLICY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Commonwealth Procurement Code - Act 57 establishes the statutory limitations and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provisions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for all procurement activities for the Commonwealth of Pennsylvania. All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procurement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of goods, supplies, services and construction for the Pennsylvania State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System of Higher Education must conform to the policies, procedures and statutory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limitations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as set forth in Act 57. The provisions of the Act apply to the State System as a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state-affiliated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entity such as the State System of Higher Education.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Adherence to the following policies and conditions apply to all purchases, regardless of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dollar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amount: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Act 57 of 1998, known as the Commonwealth Procurement Code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Board Of Governors Policies: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Courier New" w:hAnsi="Courier New" w:cs="Courier New"/>
          <w:color w:val="000000"/>
          <w:sz w:val="20"/>
          <w:szCs w:val="20"/>
          <w:highlight w:val="yellow"/>
        </w:rPr>
        <w:t>o</w:t>
      </w:r>
      <w:proofErr w:type="gramEnd"/>
      <w:r w:rsidRPr="00FA2172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1998-04, Procurement of Goods, Services, Supplies and Construction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Courier New" w:hAnsi="Courier New" w:cs="Courier New"/>
          <w:color w:val="000000"/>
          <w:sz w:val="20"/>
          <w:szCs w:val="20"/>
          <w:highlight w:val="yellow"/>
        </w:rPr>
        <w:t>o</w:t>
      </w:r>
      <w:proofErr w:type="gramEnd"/>
      <w:r w:rsidRPr="00FA2172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1998-04-A, Delegation of authority for Undertaking Design, construction,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Repair, Renovation, and Maintenance Projects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Courier New" w:hAnsi="Courier New" w:cs="Courier New"/>
          <w:color w:val="000000"/>
          <w:sz w:val="20"/>
          <w:szCs w:val="20"/>
          <w:highlight w:val="yellow"/>
        </w:rPr>
        <w:t>o</w:t>
      </w:r>
      <w:proofErr w:type="gramEnd"/>
      <w:r w:rsidRPr="00FA2172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1990-07-A, Professional Services Contracting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(The Above Policies are on file in the Procurement Services Office)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Cheyney University (CU) Use of Public Funds Policy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Contracting at CU Policy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CU Purchasing Guidelines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CU Donated Funds Policy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CU promotional Items and Gifts Policy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Adverse Interests Act (on file in the Procurement Services Office)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FF"/>
          <w:sz w:val="20"/>
          <w:szCs w:val="20"/>
          <w:highlight w:val="yellow"/>
        </w:rPr>
        <w:t>State Ethics Guidelines</w:t>
      </w:r>
    </w:p>
    <w:p w:rsidR="00334190" w:rsidRPr="00FA2172" w:rsidRDefault="00334190" w:rsidP="003341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Prohibited Purchases List (see CU Purchasing Guidelines)</w:t>
      </w:r>
    </w:p>
    <w:p w:rsidR="00A71654" w:rsidRPr="00FA2172" w:rsidRDefault="00A71654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These detailed, written policies are available upon request.</w:t>
      </w:r>
      <w:r w:rsidR="00A71654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</w:p>
    <w:p w:rsidR="00A71654" w:rsidRPr="00FA2172" w:rsidRDefault="00A71654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34190" w:rsidRPr="00FA2172" w:rsidRDefault="00334190" w:rsidP="000D07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AUTHORITY</w:t>
      </w:r>
    </w:p>
    <w:p w:rsidR="000D075C" w:rsidRPr="00FA2172" w:rsidRDefault="000D075C" w:rsidP="000D07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334190" w:rsidRPr="00FA2172" w:rsidRDefault="00334190" w:rsidP="000D07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Contracting Officer</w:t>
      </w:r>
    </w:p>
    <w:p w:rsidR="000D075C" w:rsidRPr="00FA2172" w:rsidRDefault="000D075C" w:rsidP="000D07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For the sake of clarity, the primary person who has been delegated with contracting officer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authority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on behalf of the University, without financial limitations, is </w:t>
      </w:r>
      <w:r w:rsidR="000D075C" w:rsidRPr="00FA2172">
        <w:rPr>
          <w:rFonts w:ascii="Verdana" w:hAnsi="Verdana" w:cs="Verdana"/>
          <w:color w:val="000000"/>
          <w:sz w:val="20"/>
          <w:szCs w:val="20"/>
          <w:highlight w:val="yellow"/>
        </w:rPr>
        <w:t>Al Skudzinskas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, Vice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President for Finance and Administration.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In the event of his absence, that responsibility</w:t>
      </w: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shall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fall </w:t>
      </w:r>
      <w:r w:rsidR="00FA2172" w:rsidRPr="00FA2172">
        <w:rPr>
          <w:rFonts w:ascii="Verdana" w:hAnsi="Verdana" w:cs="Verdana"/>
          <w:color w:val="000000"/>
          <w:sz w:val="20"/>
          <w:szCs w:val="20"/>
          <w:highlight w:val="yellow"/>
        </w:rPr>
        <w:t>Lynn Scott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and Amber Thompkins, Purchasing Agents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. 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No other individual has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contracting signatory authority on behalf of the University unless delegated in advance and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in writing by Mr. </w:t>
      </w:r>
      <w:r w:rsidR="000D075C" w:rsidRPr="00FA2172">
        <w:rPr>
          <w:rFonts w:ascii="Verdana" w:hAnsi="Verdana" w:cs="Verdana"/>
          <w:color w:val="000000"/>
          <w:sz w:val="20"/>
          <w:szCs w:val="20"/>
          <w:highlight w:val="yellow"/>
        </w:rPr>
        <w:t>Skudzinskas</w:t>
      </w:r>
      <w:r w:rsidR="007F0940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or the President. The new procurement law (Act 57)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has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lastRenderedPageBreak/>
        <w:t>established checks and balances to be certain that more than one individual is involved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in the approval process. To this end, this Act has designated a Contracting Officer and a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Fiscal Officer designation.</w:t>
      </w:r>
    </w:p>
    <w:p w:rsidR="001B28F1" w:rsidRPr="00FA2172" w:rsidRDefault="001B28F1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34190" w:rsidRPr="00FA2172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Duties of the Contracting Officer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: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Only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individual</w:t>
      </w:r>
      <w:r w:rsidR="001B28F1" w:rsidRPr="00FA2172">
        <w:rPr>
          <w:rFonts w:ascii="Verdana" w:hAnsi="Verdana" w:cs="Verdana"/>
          <w:color w:val="000000"/>
          <w:sz w:val="20"/>
          <w:szCs w:val="20"/>
          <w:highlight w:val="yellow"/>
        </w:rPr>
        <w:t>(s)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authorized to procure goods, services, supplies and construction;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enter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into and administer contracts; and make determinations with respect to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contracts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for the State System.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Determine the method of source selection and public notice.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Makes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the written determination for sole source purchases.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Determines pre-qualifications of prospective bidders, whenever a pre-qualification list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is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to be </w:t>
      </w:r>
      <w:proofErr w:type="spell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use</w:t>
      </w:r>
      <w:proofErr w:type="spell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for the procurement action.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proofErr w:type="gramStart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Whenever</w:t>
      </w:r>
      <w:proofErr w:type="gramEnd"/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a contract type other than a firm, fixed-price contract or an emergency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procurement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, the contracting officer will first review the contractor's accounting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system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to ensure it meets acceptable accounting standards.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Inspect the plant of contractors or subcontractors and audit cost and pricing data to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the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extent necessary to ensure that the provisions of the contract are met and the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pricing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is accurate.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proofErr w:type="gramStart"/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Appoint selection committees.</w:t>
      </w:r>
      <w:proofErr w:type="gramEnd"/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Ensure that withdrawals of bids are made in accordance with the provisions of Act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57.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Determine the security, payments and performance bonding required in each</w:t>
      </w:r>
    </w:p>
    <w:p w:rsidR="00334190" w:rsidRPr="00FA2172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contract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.</w:t>
      </w:r>
    </w:p>
    <w:p w:rsidR="00334190" w:rsidRPr="00FA2172" w:rsidRDefault="00334190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FA2172">
        <w:rPr>
          <w:rFonts w:ascii="SymbolMT" w:eastAsia="SymbolMT" w:hAnsi="Verdana" w:cs="SymbolMT" w:hint="eastAsia"/>
          <w:color w:val="000000"/>
          <w:sz w:val="20"/>
          <w:szCs w:val="20"/>
          <w:highlight w:val="yellow"/>
        </w:rPr>
        <w:t></w:t>
      </w:r>
      <w:r w:rsidRPr="00FA2172">
        <w:rPr>
          <w:rFonts w:ascii="SymbolMT" w:eastAsia="SymbolMT" w:hAnsi="Verdana" w:cs="SymbolMT"/>
          <w:color w:val="000000"/>
          <w:sz w:val="20"/>
          <w:szCs w:val="20"/>
          <w:highlight w:val="yellow"/>
        </w:rPr>
        <w:t xml:space="preserve"> </w:t>
      </w: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>Hear and issue findings on bid protests, claims, and/or disputes concerning</w:t>
      </w:r>
    </w:p>
    <w:p w:rsidR="00334190" w:rsidRDefault="001B28F1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  <w:r w:rsidRPr="00FA2172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   </w:t>
      </w:r>
      <w:proofErr w:type="gramStart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solicitation</w:t>
      </w:r>
      <w:proofErr w:type="gramEnd"/>
      <w:r w:rsidR="00334190" w:rsidRPr="00FA2172">
        <w:rPr>
          <w:rFonts w:ascii="Verdana" w:hAnsi="Verdana" w:cs="Verdana"/>
          <w:color w:val="000000"/>
          <w:sz w:val="20"/>
          <w:szCs w:val="20"/>
          <w:highlight w:val="yellow"/>
        </w:rPr>
        <w:t>, award or administration of a contract.</w:t>
      </w:r>
    </w:p>
    <w:p w:rsidR="005702C3" w:rsidRDefault="005702C3" w:rsidP="001B28F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334190" w:rsidRPr="00C126B0" w:rsidRDefault="00334190" w:rsidP="00C12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126B0">
        <w:rPr>
          <w:rFonts w:ascii="Verdana" w:hAnsi="Verdana" w:cs="Verdana"/>
          <w:b/>
          <w:bCs/>
          <w:color w:val="000000"/>
          <w:sz w:val="20"/>
          <w:szCs w:val="20"/>
        </w:rPr>
        <w:t>Fiscal Officer</w:t>
      </w:r>
    </w:p>
    <w:p w:rsidR="00C126B0" w:rsidRPr="00C126B0" w:rsidRDefault="00C126B0" w:rsidP="00C126B0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primary person who has been delegated authority as "fiscal officer" to review contracts,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agreements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and to sign disbursement authorizations on behalf of the University, without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limitation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</w:t>
      </w:r>
      <w:r w:rsidR="00FA2172">
        <w:rPr>
          <w:rFonts w:ascii="Verdana" w:hAnsi="Verdana" w:cs="Verdana"/>
          <w:color w:val="000000"/>
          <w:sz w:val="20"/>
          <w:szCs w:val="20"/>
        </w:rPr>
        <w:t>Al Skudzinskas</w:t>
      </w:r>
      <w:r>
        <w:rPr>
          <w:rFonts w:ascii="Verdana" w:hAnsi="Verdana" w:cs="Verdana"/>
          <w:color w:val="000000"/>
          <w:sz w:val="20"/>
          <w:szCs w:val="20"/>
        </w:rPr>
        <w:t xml:space="preserve">, Vice President for </w:t>
      </w:r>
      <w:r w:rsidR="007F0940">
        <w:rPr>
          <w:rFonts w:ascii="Verdana" w:hAnsi="Verdana" w:cs="Verdana"/>
          <w:color w:val="000000"/>
          <w:sz w:val="20"/>
          <w:szCs w:val="20"/>
        </w:rPr>
        <w:t xml:space="preserve">Finance </w:t>
      </w:r>
      <w:r>
        <w:rPr>
          <w:rFonts w:ascii="Verdana" w:hAnsi="Verdana" w:cs="Verdana"/>
          <w:color w:val="000000"/>
          <w:sz w:val="20"/>
          <w:szCs w:val="20"/>
        </w:rPr>
        <w:t>and Administration. In the event of his</w:t>
      </w:r>
      <w:r w:rsidR="007F094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absence, that responsibility shall fall to </w:t>
      </w:r>
      <w:r w:rsidR="007F0940">
        <w:rPr>
          <w:rFonts w:ascii="Verdana" w:hAnsi="Verdana" w:cs="Verdana"/>
          <w:color w:val="000000"/>
          <w:sz w:val="20"/>
          <w:szCs w:val="20"/>
        </w:rPr>
        <w:t>Nancy Stoltzfus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7F0940">
        <w:rPr>
          <w:rFonts w:ascii="Verdana" w:hAnsi="Verdana" w:cs="Verdana"/>
          <w:color w:val="000000"/>
          <w:sz w:val="20"/>
          <w:szCs w:val="20"/>
        </w:rPr>
        <w:t xml:space="preserve">Asst. </w:t>
      </w:r>
      <w:r>
        <w:rPr>
          <w:rFonts w:ascii="Verdana" w:hAnsi="Verdana" w:cs="Verdana"/>
          <w:color w:val="000000"/>
          <w:sz w:val="20"/>
          <w:szCs w:val="20"/>
        </w:rPr>
        <w:t>Controller. No other individual has</w:t>
      </w:r>
      <w:r w:rsidR="007F094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fiscal authority on behalf of the University unless delegated in advance and in writing by Mr.</w:t>
      </w:r>
      <w:r w:rsidR="007F094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A2172">
        <w:rPr>
          <w:rFonts w:ascii="Verdana" w:hAnsi="Verdana" w:cs="Verdana"/>
          <w:color w:val="000000"/>
          <w:sz w:val="20"/>
          <w:szCs w:val="20"/>
        </w:rPr>
        <w:t>Skudzinskas</w:t>
      </w:r>
      <w:r w:rsidR="007F094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or the President.</w:t>
      </w:r>
    </w:p>
    <w:p w:rsidR="007F0940" w:rsidRDefault="007F094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These designations are made pursuant to Act 57 of 1998 and the Board of Governors Policy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1998-04. If you have any questions regarding this memo or require assistance in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preparation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a contract, please feel free to contact Mrs. Monique Baylor at telephone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extension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2343 regarding contracting matters or Ms. Holmes at extension 2461 regarding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fiscal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matters.</w:t>
      </w:r>
    </w:p>
    <w:p w:rsidR="005702C3" w:rsidRDefault="005702C3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A2172" w:rsidRDefault="00334190" w:rsidP="00FA21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A2172">
        <w:rPr>
          <w:rFonts w:ascii="Verdana" w:hAnsi="Verdana" w:cs="Verdana"/>
          <w:b/>
          <w:bCs/>
          <w:color w:val="000000"/>
          <w:sz w:val="20"/>
          <w:szCs w:val="20"/>
        </w:rPr>
        <w:t>PURCHASING AND CONTRACTING PROCEDURES</w:t>
      </w:r>
    </w:p>
    <w:p w:rsidR="00FA2172" w:rsidRPr="00FA2172" w:rsidRDefault="00FA2172" w:rsidP="00FA217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7F0940" w:rsidP="005702C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A. Purchases $19,1</w:t>
      </w:r>
      <w:r w:rsidR="00334190">
        <w:rPr>
          <w:rFonts w:ascii="Verdana" w:hAnsi="Verdana" w:cs="Verdana"/>
          <w:b/>
          <w:bCs/>
          <w:color w:val="000000"/>
          <w:sz w:val="20"/>
          <w:szCs w:val="20"/>
        </w:rPr>
        <w:t>00 and under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 w:rsidR="007F0940">
        <w:rPr>
          <w:rFonts w:ascii="Verdana" w:hAnsi="Verdana" w:cs="Verdana"/>
          <w:color w:val="000000"/>
          <w:sz w:val="20"/>
          <w:szCs w:val="20"/>
        </w:rPr>
        <w:t>Purchases under $19,1</w:t>
      </w:r>
      <w:r>
        <w:rPr>
          <w:rFonts w:ascii="Verdana" w:hAnsi="Verdana" w:cs="Verdana"/>
          <w:color w:val="000000"/>
          <w:sz w:val="20"/>
          <w:szCs w:val="20"/>
        </w:rPr>
        <w:t>00.00 do not require competitive bidding. However,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solicitation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bids is encouraged and wi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ll be done at the discretion of </w:t>
      </w:r>
      <w:r>
        <w:rPr>
          <w:rFonts w:ascii="Verdana" w:hAnsi="Verdana" w:cs="Verdana"/>
          <w:color w:val="000000"/>
          <w:sz w:val="20"/>
          <w:szCs w:val="20"/>
        </w:rPr>
        <w:t>Procurement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Services.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University Legal Counsel must review all contracts that exceed $5,000.00.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Prudent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business practices must be followed regarding all purchases under</w:t>
      </w:r>
    </w:p>
    <w:p w:rsidR="00334190" w:rsidRDefault="00C126B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$19,1</w:t>
      </w:r>
      <w:r w:rsidR="00334190">
        <w:rPr>
          <w:rFonts w:ascii="Verdana" w:hAnsi="Verdana" w:cs="Verdana"/>
          <w:color w:val="000000"/>
          <w:sz w:val="20"/>
          <w:szCs w:val="20"/>
        </w:rPr>
        <w:t>00.00.</w:t>
      </w:r>
      <w:proofErr w:type="gramEnd"/>
      <w:r w:rsidR="00334190">
        <w:rPr>
          <w:rFonts w:ascii="Verdana" w:hAnsi="Verdana" w:cs="Verdana"/>
          <w:color w:val="000000"/>
          <w:sz w:val="20"/>
          <w:szCs w:val="20"/>
        </w:rPr>
        <w:t xml:space="preserve"> Three (3) informal bids with one (1) bid a WBE/MBE when possible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should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solicited.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procurement activities must be authorized in advance by Procurement Services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(PS). ALL procurement requests will be rejected if PS is not engaged prior to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requesting goods and services.</w:t>
      </w:r>
    </w:p>
    <w:p w:rsidR="00334190" w:rsidRDefault="00334190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Under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no circumstances should purchases be split up to avoid this dollar threshold.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Solicitation of bids is encouraged. Buying in a series means making multiple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purchases of the same item or service from the same vendor within a twelve month</w:t>
      </w:r>
      <w:r w:rsidR="00FA21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period. This practice is prohibited.</w:t>
      </w:r>
    </w:p>
    <w:p w:rsidR="00FA2172" w:rsidRDefault="00FA2172" w:rsidP="00FA2172">
      <w:pPr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  <w:sz w:val="20"/>
          <w:szCs w:val="20"/>
        </w:rPr>
      </w:pPr>
    </w:p>
    <w:p w:rsidR="0033419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B. Purchases $19,001</w:t>
      </w:r>
      <w:r w:rsidR="00334190">
        <w:rPr>
          <w:rFonts w:ascii="Verdana" w:hAnsi="Verdana" w:cs="Verdana"/>
          <w:b/>
          <w:bCs/>
          <w:color w:val="000000"/>
          <w:sz w:val="20"/>
          <w:szCs w:val="20"/>
        </w:rPr>
        <w:t xml:space="preserve"> or more</w:t>
      </w:r>
    </w:p>
    <w:p w:rsidR="00FA2172" w:rsidRDefault="00FA2172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Pursuant to Act 57, Act 188 and Board of Governors Policy 1983-02-A, all University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purchases </w:t>
      </w:r>
      <w:r w:rsidR="00C126B0">
        <w:rPr>
          <w:rFonts w:ascii="Verdana" w:hAnsi="Verdana" w:cs="Verdana"/>
          <w:color w:val="000000"/>
          <w:sz w:val="20"/>
          <w:szCs w:val="20"/>
        </w:rPr>
        <w:t>equal to or greater than $19,001</w:t>
      </w:r>
      <w:r>
        <w:rPr>
          <w:rFonts w:ascii="Verdana" w:hAnsi="Verdana" w:cs="Verdana"/>
          <w:color w:val="000000"/>
          <w:sz w:val="20"/>
          <w:szCs w:val="20"/>
        </w:rPr>
        <w:t xml:space="preserve"> must be publicly advertised and competitively bid under</w:t>
      </w:r>
      <w:r w:rsidR="00C126B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institutionally established business practices. Such competitive bidding will be undertaken</w:t>
      </w:r>
      <w:r w:rsidR="00C126B0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centrally by Procurement Services and documented appropriately for audit purposes.</w:t>
      </w: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appropriate format is determined by Procurement Services and depends upon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nature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complexity of the goods or services required. A request for quotation is used for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purchase of most commodities, supplies, and equipment when price is the only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factor. A request for proposal is used for services and specialized product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purchases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when other evaluation criteria also need to be considered. Regardless of the bid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solicitation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method utilized, adequate public notice must be given with adequate response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time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Bid solicitations may only be issued by Procurement Services.</w:t>
      </w: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 bids received must remain sealed and the contents not disclosed until the designated bid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opening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time. Bids received after the formal bid opening time, regardless of reason, will not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accepted for consideration. Bids shall be opened publicly in the presence of one or more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witnesses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No determination of the successful bidder will be made at the bid opening. An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award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will be made only after careful review by appropriate university personnel.</w:t>
      </w: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 proposals received in response to a request for proposal will remain sealed until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designated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opening time. The opening of sealed bids is open to the public. Only the names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vendors submitting proposals will be made available to the public. Proposals will be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held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confidence and, except for the selected proposal which is subject to the Pennsylvania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“Right to Know” Law, and the University’s Right to Know Policy, will not be revealed 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discussed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competitors to protect proprietary information.</w:t>
      </w: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Bid information, including contracts awarded to successful bidders, is available on the</w:t>
      </w:r>
    </w:p>
    <w:p w:rsidR="0033419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PA E-Marketplace website.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On requests for quotations, awards will be made to the lowest responsive, responsible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bidder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within 60 days of the bid opening date. For request for proposals, the award is made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bidder submitting the proposal deemed most advantageous to the university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considering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price and other evaluation factors as specified in the request for proposal. This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involves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review by an evaluation committee consisting of knowledgeable university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personnel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at least one member of the purchasing staff. The contracting officer has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right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reject any bid or proposal that he/she has just cause to believe is not in the best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interest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the university to accept.</w:t>
      </w: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Procurement Services will make an award recommendation and prepare the appropriate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purchasing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document (contract or purchase order) for submission to the contracting officer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fiscal officer, or their designees, for review and approval. Contracts for services in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excess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$5,000 must also be forwarded to university legal counsel and, if in excess of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$20,000 to the Commonwealth Attorney General for review and approval.</w:t>
      </w:r>
      <w:proofErr w:type="gramEnd"/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26B0" w:rsidRDefault="00334190" w:rsidP="00C12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126B0">
        <w:rPr>
          <w:rFonts w:ascii="Verdana" w:hAnsi="Verdana" w:cs="Verdana"/>
          <w:b/>
          <w:bCs/>
          <w:color w:val="000000"/>
          <w:sz w:val="20"/>
          <w:szCs w:val="20"/>
        </w:rPr>
        <w:t>Additional Internal Approvals</w:t>
      </w:r>
    </w:p>
    <w:p w:rsidR="00C126B0" w:rsidRPr="00C126B0" w:rsidRDefault="00C126B0" w:rsidP="00C126B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 purchases that normally require additional approvals (aka "technical standards approval"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under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Purchasing Guidelines) shall continue requiring such approvals, regardless of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dollar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value. Examples include, but are not limited to: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  <w:sectPr w:rsidR="005F340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26B0" w:rsidRDefault="00C126B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  <w:sectPr w:rsidR="00C126B0" w:rsidSect="005F34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5F3407" w:rsidTr="005F3407">
        <w:tc>
          <w:tcPr>
            <w:tcW w:w="4338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Item or Service</w:t>
            </w:r>
          </w:p>
        </w:tc>
        <w:tc>
          <w:tcPr>
            <w:tcW w:w="4680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Additional Approval by:</w:t>
            </w:r>
          </w:p>
        </w:tc>
      </w:tr>
      <w:tr w:rsidR="005F3407" w:rsidTr="005F3407">
        <w:tc>
          <w:tcPr>
            <w:tcW w:w="4338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Computer Hardware / Software</w:t>
            </w:r>
          </w:p>
        </w:tc>
        <w:tc>
          <w:tcPr>
            <w:tcW w:w="4680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Information Services  </w:t>
            </w:r>
          </w:p>
        </w:tc>
      </w:tr>
      <w:tr w:rsidR="005F3407" w:rsidTr="005F3407">
        <w:tc>
          <w:tcPr>
            <w:tcW w:w="4338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Subscription / Memberships</w:t>
            </w:r>
          </w:p>
        </w:tc>
        <w:tc>
          <w:tcPr>
            <w:tcW w:w="4680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Library Director</w:t>
            </w:r>
          </w:p>
        </w:tc>
      </w:tr>
      <w:tr w:rsidR="005F3407" w:rsidTr="005F3407">
        <w:tc>
          <w:tcPr>
            <w:tcW w:w="4338" w:type="dxa"/>
          </w:tcPr>
          <w:p w:rsidR="005F3407" w:rsidRDefault="005F3407" w:rsidP="005F34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Hazardous Materials or Related</w:t>
            </w:r>
          </w:p>
          <w:p w:rsidR="005F3407" w:rsidRP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4680" w:type="dxa"/>
          </w:tcPr>
          <w:p w:rsidR="005F3407" w:rsidRDefault="005F3407" w:rsidP="005F34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Environmental Health &amp; Safety</w:t>
            </w:r>
          </w:p>
          <w:p w:rsidR="005F3407" w:rsidRP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Office</w:t>
            </w:r>
          </w:p>
        </w:tc>
      </w:tr>
      <w:tr w:rsidR="005F3407" w:rsidTr="005F3407">
        <w:tc>
          <w:tcPr>
            <w:tcW w:w="4338" w:type="dxa"/>
          </w:tcPr>
          <w:p w:rsidR="005F3407" w:rsidRDefault="005F3407" w:rsidP="005F34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Publication - Use of Logo, Seals,</w:t>
            </w:r>
          </w:p>
          <w:p w:rsidR="005F3407" w:rsidRP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4680" w:type="dxa"/>
          </w:tcPr>
          <w:p w:rsidR="005F3407" w:rsidRDefault="005F3407" w:rsidP="005F34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Publications Office</w:t>
            </w:r>
          </w:p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07" w:rsidTr="005F3407">
        <w:tc>
          <w:tcPr>
            <w:tcW w:w="4338" w:type="dxa"/>
          </w:tcPr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Grants and Sponsored Research</w:t>
            </w:r>
          </w:p>
        </w:tc>
        <w:tc>
          <w:tcPr>
            <w:tcW w:w="4680" w:type="dxa"/>
          </w:tcPr>
          <w:p w:rsidR="005F3407" w:rsidRDefault="005F3407" w:rsidP="005F340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Business Office - Grants</w:t>
            </w:r>
          </w:p>
          <w:p w:rsidR="005F3407" w:rsidRDefault="005F3407" w:rsidP="0033419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  <w:sectPr w:rsidR="005F3407" w:rsidSect="005F34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Exceptions to the Competitive Bidding Requirements</w:t>
      </w:r>
    </w:p>
    <w:p w:rsidR="005F3407" w:rsidRPr="005F3407" w:rsidRDefault="005F3407" w:rsidP="005F340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Exceptions to the competitive bidding requirements are authorized for the following: (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Emergency procurements, (ii) Sole Source procurements, (iii) goods or services available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under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State Contracts, (iv) goods or services available from agencies for persons with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disabilities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(i.e. Pennsylvania Industries for Blind and Handicapped), (v) procurement of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design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professional services (which is subject to competitive state selection process referred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as “Request for Proposal”) and (vi) items specified under grant or restricted gift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provisions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An exception may also be authorized for emergency facility projects when a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threat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exists to public health, welfare or the safety. In such case, written documentation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substantiating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emergency and for the selection of the contractor must be included in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contract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file.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Any exception to the competitive bidding requirement must be approved in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advance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by the Procurement Services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Sole Source Contracts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contract may be awarded for a construction item without the necessity of bidding when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Contracting Officer determines in writing that one of the following statutory conditions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exists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Only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 single contractor is capable of providing the construction;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federal or state statute or federal regulation exempts the construction from</w:t>
      </w:r>
    </w:p>
    <w:p w:rsidR="00334190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proofErr w:type="gramStart"/>
      <w:r w:rsidR="00334190">
        <w:rPr>
          <w:rFonts w:ascii="Verdana" w:hAnsi="Verdana" w:cs="Verdana"/>
          <w:color w:val="000000"/>
          <w:sz w:val="20"/>
          <w:szCs w:val="20"/>
        </w:rPr>
        <w:t>competitive</w:t>
      </w:r>
      <w:proofErr w:type="gramEnd"/>
      <w:r w:rsidR="00334190">
        <w:rPr>
          <w:rFonts w:ascii="Verdana" w:hAnsi="Verdana" w:cs="Verdana"/>
          <w:color w:val="000000"/>
          <w:sz w:val="20"/>
          <w:szCs w:val="20"/>
        </w:rPr>
        <w:t xml:space="preserve"> procurements;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total cost of the construction is less than $1</w:t>
      </w:r>
      <w:r w:rsidR="005F3407">
        <w:rPr>
          <w:rFonts w:ascii="Verdana" w:hAnsi="Verdana" w:cs="Verdana"/>
          <w:color w:val="000000"/>
          <w:sz w:val="20"/>
          <w:szCs w:val="20"/>
        </w:rPr>
        <w:t>9,1</w:t>
      </w:r>
      <w:r>
        <w:rPr>
          <w:rFonts w:ascii="Verdana" w:hAnsi="Verdana" w:cs="Verdana"/>
          <w:color w:val="000000"/>
          <w:sz w:val="20"/>
          <w:szCs w:val="20"/>
        </w:rPr>
        <w:t>00.00,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It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clearly not feasible to award the contract on a competitive basis;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services involve the repair, modification or calibration of equipment and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work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to be performed by the manufacturer of the equipment or by an authorized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dealer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provided the Contracting Officer determines that bidding is not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appropriate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under the circumstances</w:t>
      </w:r>
      <w:r>
        <w:rPr>
          <w:rFonts w:ascii="Verdana" w:hAnsi="Verdana" w:cs="Verdana"/>
          <w:color w:val="000000"/>
          <w:sz w:val="20"/>
          <w:szCs w:val="20"/>
        </w:rPr>
        <w:t>, 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contract is in the best interest of the Commonwealth.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Before entering into a Sole Source Contract, a statement of justification must be prepared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Procurement Services and sent to University’s Legal Counsel for approval.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Emergency Contracts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Emergency Contracts are permissible when the Contracting Officer or his designee’s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that there is a threat to public health, safety and welfare or circumstances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outside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control of the University create an urgency of need which necessitates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suspension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normal bidding and review requirements.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When possible 2 bids should be secured.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These have to be in writing. Written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determination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the basis for the emergency and for the selection of the contractor must be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included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the contract file and sent in the form of a certification when the contract is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submitted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legal review after the work is completed.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following items are required for all Emergency Contracts: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Written Scope of Work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Contractor’s written documentation of its bid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Performance and Payment Bonds (if required)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Prevailing Wage Determination (if required)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Minority and Women Business Enterprise (MBE/WBE)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It is the University’s policy to seek and recruit small and disadvantaged businesses,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including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minority and women owned business enterprises (MBE/WBE), for inclusion on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vendor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list. Vendors are identified through minority magazines, trade fairs, and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Commonwealth Office of Minority and Women Business.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On a yearly basis, at least one MBE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trade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show is attended by the Purchasing Director or his/her designee. The names,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addresses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phone numbers and product listings, if available, of identified small and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disadvantaged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businesses are shared with other universities in the Pennsylvania State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System of Higher Education as requested. Purchasing and Contract Services tracks and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reports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annually the total dollar amount of contracts and purchase orders awarded to such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vendors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When identified, qualified small and disadvantaged businesses are added to the vendor list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goods or services they can provide. Procurement Services will make every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reasonable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attempt to include one or more of these businesses on every request for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quotation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or proposal. The University may also reduce the level or change the type of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bonding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requirements and modify progress payments for small and disadvantaged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businesses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However, bid and proposal evaluation procedures do not allow for preference 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advantage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ratings for any vendors, but provide equality for all vendors.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following web site is a good source of information relating to MBE/WBE’s in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Pennsylvania: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9" w:history="1">
        <w:r w:rsidRPr="00101E32">
          <w:rPr>
            <w:rStyle w:val="Hyperlink"/>
            <w:rFonts w:ascii="Verdana" w:hAnsi="Verdana" w:cs="Verdana"/>
            <w:sz w:val="20"/>
            <w:szCs w:val="20"/>
          </w:rPr>
          <w:t>http://www.dgsapp.state.pa.us/cabd/mwbdata.asp</w:t>
        </w:r>
      </w:hyperlink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Proprietary Specifications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use of Proprietary Specifications are not permitted without the advance written approval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Vice President for Administration and Finance.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Modification or Withdrawal of Bids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Bids may be modified or withdrawn by the bidder upon written notice or in person any time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prior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the date and time set for the opening of the bids. Except as otherwise provided in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this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part, requests for withdrawals and modifications of bids received after the exact hour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date specified for the opening of bids shall not be considered.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Withdrawal of erroneous bids after bid opening but before award shall be permitted by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written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determination of the contracting officer when the bidder requests relief and presents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credible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evidence that the reason for the lower bid price was a clerical mistake as opposed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 judgment mistake and was actually due to an unintentional arithmetical error or an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unintentional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omission of a substantial quantity of work, labor, material or services made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directly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the compilation of the bid. The request for relief and the supporting evidence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must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received by the Vice President for Finance and Administration within two business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days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after the bid opening.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Bid Protests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bid protest is a procedural mechanism that permits an unsuccessful vendor/contractor 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potential vendor/contractor to file a complaint in regards to the solicitation and/or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awarding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a public contract. In 2002, amendments to Act 57 significantly altered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previous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procedures of resolving bid protests. Every bid/proposal package issued by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University contains a Notice as to Filing a Bid Protest section with detailed bid protest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procedures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Bid protest procedures are listed on the Cheyney University’s Purchasing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Department web page and can also be obtained by contacting the University Purchasing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Department.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bid protest procedures must be followed when filing a bid protest.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Resolution of Contract Disputes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If a controversy arises between a contractor and the University as a result of a contractual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relationship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(i.e., breach of contract, mistake, misrepresentation or other cause for contract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modification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or recession) a claim must first be filed in writing with the contracting officer,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Vice President for Finance and Administration, within six months after it accrues.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contracting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officer has the authority to settle or resolve this action without the necessity of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bringing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matter before the Board of Claims for formal adjudication. However, all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settlements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must be reviewed and approved by Chief Council and a release must be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prepared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executed by all parties that must include the contractor, the University, Chief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Council and the OAG.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Untimely claims are to be disregarded by the contracting officer in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consultation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University </w:t>
      </w:r>
      <w:r w:rsidR="005F3407">
        <w:rPr>
          <w:rFonts w:ascii="Verdana" w:hAnsi="Verdana" w:cs="Verdana"/>
          <w:color w:val="000000"/>
          <w:sz w:val="20"/>
          <w:szCs w:val="20"/>
        </w:rPr>
        <w:t>legal counsel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Appropriate and Allowable Purchases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It is the university’s primary mission to provide a quality education to students.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Consequently, appropriate and allowable purchases would include all goods, services, and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construction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necessary to accomplish that mission. These include expenditures, within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budget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limitations, for instruction, research, public service, academic support, student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services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institutional support, operation and maintenance of facilities, technology and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auxiliary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operations.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Public funds should only be used for public purposes. University funds should not be used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purchase gifts or personal items for employees, alcohol, party supplies, flowers for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individuals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or similar items that benefit only a select few or have no legitimate business or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educational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purpose. In all instances, the Purchasing Office has the right to question any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purchase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request that appears inappropriate. If, after seeking further justification from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requestor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the Purchasing Office still believes the purchase request to be questionable,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matter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will be referred to the Vice President for Finance and Administration, or his/her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designee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for final determination of appropriateness.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Principles of Prudent Procurement Practices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university uses the following principles of good procurement practices to implement this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policy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Responsiveness: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First consideration is given to the objectives and policies of the institution.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Community understanding of purchasing procedures and requirements is assured.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Accountability: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Compliance with all federal, Commonwealth of Pennsylvania, Pennsylvania State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System of Higher Education, and university laws,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regulations,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policies is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maintained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The maximum value for each dollar of expenditure is sought through:</w:t>
      </w:r>
    </w:p>
    <w:p w:rsidR="00334190" w:rsidRDefault="005F3407" w:rsidP="005F34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 w:rsidR="00334190">
        <w:rPr>
          <w:rFonts w:ascii="Verdana" w:hAnsi="Verdana" w:cs="Verdana"/>
          <w:color w:val="000000"/>
          <w:sz w:val="20"/>
          <w:szCs w:val="20"/>
        </w:rPr>
        <w:t>. Assertively seeking the widest possible audience of potential vendors to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maximize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competition.</w:t>
      </w:r>
    </w:p>
    <w:p w:rsidR="00334190" w:rsidRDefault="005F3407" w:rsidP="005F34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</w:t>
      </w:r>
      <w:r w:rsidR="00334190">
        <w:rPr>
          <w:rFonts w:ascii="Verdana" w:hAnsi="Verdana" w:cs="Verdana"/>
          <w:color w:val="000000"/>
          <w:sz w:val="20"/>
          <w:szCs w:val="20"/>
        </w:rPr>
        <w:t>. Setting aside competitive practices only in the most justifiable circumstances.</w:t>
      </w:r>
    </w:p>
    <w:p w:rsidR="00334190" w:rsidRDefault="005F3407" w:rsidP="005F34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 w:rsidR="00334190">
        <w:rPr>
          <w:rFonts w:ascii="Verdana" w:hAnsi="Verdana" w:cs="Verdana"/>
          <w:color w:val="000000"/>
          <w:sz w:val="20"/>
          <w:szCs w:val="20"/>
        </w:rPr>
        <w:t>. Pursuing cooperation and collaboration with other universities and public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agencies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maximize value.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Adequate documentation is provided for public review as an “audit trail” on all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procurement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decisions.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Fairness and Openness: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All competitive suppliers are granted equal consideration insofar as state or federal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statutes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institutional policies permit.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A reasonable effort is made to make all competing suppliers aware of institutional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needs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goods and services.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Small and disadvantaged businesses, including Minority/Women Business Enterprises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(MBE/WBE), are sought actively as suppliers of goods and services.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Honesty in sales representation, whether offered by verbal or written statement, an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advertisement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or a sample of the product, is demanded.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Business is conducted with potential and current suppliers in an atmosphere of good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faith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devoid of intentional misrepresentation.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Consent from the originator of proprietary ideas and designs is received before using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for competitive purchasing purposes.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 Personal and institutional gifts or gratuities are not accepted.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34190" w:rsidRPr="005F3407" w:rsidRDefault="00334190" w:rsidP="005F34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F3407">
        <w:rPr>
          <w:rFonts w:ascii="Verdana" w:hAnsi="Verdana" w:cs="Verdana"/>
          <w:b/>
          <w:bCs/>
          <w:color w:val="000000"/>
          <w:sz w:val="20"/>
          <w:szCs w:val="20"/>
        </w:rPr>
        <w:t>RESPONSIBILITY AND ETHICS</w:t>
      </w:r>
    </w:p>
    <w:p w:rsidR="005F3407" w:rsidRPr="005F3407" w:rsidRDefault="005F3407" w:rsidP="005F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It is each employee’s responsibility to: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Ensure that purchase costs are reasonable. Employees must take whatever action is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necessary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to ensure the reasonableness of costs, including, as a minimum, the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lastRenderedPageBreak/>
        <w:t>comparison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pricing from more than one vendor.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Obtain purchase order, contract and change order authorization from Procurement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Services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before </w:t>
      </w:r>
      <w:r>
        <w:rPr>
          <w:rFonts w:ascii="Verdana" w:hAnsi="Verdana" w:cs="Verdana"/>
          <w:color w:val="000000"/>
          <w:sz w:val="20"/>
          <w:szCs w:val="20"/>
        </w:rPr>
        <w:t>committing the University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Adhere to the Principles of Public Notice (where applicable), including responsiveness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satisfying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objectives and policies of the University while promoting community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understanding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purchasing procedures and requirements), accountability, fairness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openness to all firms or individuals seeking economic business opportunities at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University.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Protection of public funds as if they are your own.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All purchases are subject to public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scrutiny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audits by authorities.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Maintain records for audit.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Report inappropriate purchase or contracting activities to the Contracting Officer.</w:t>
      </w:r>
      <w:proofErr w:type="gramEnd"/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Comply with the University’s Right to Know Policy</w:t>
      </w:r>
    </w:p>
    <w:p w:rsidR="00334190" w:rsidRDefault="00334190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MT" w:eastAsia="SymbolMT" w:hAnsi="Verdana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Verdana" w:cs="Symbo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Adhere to General Ethical Standards, which include: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attempt to realize personal gain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Avoid conflict of interest (or appearance of same)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improper use of confidential information</w:t>
      </w:r>
    </w:p>
    <w:p w:rsidR="00334190" w:rsidRDefault="00334190" w:rsidP="005F340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Cannot require use of a particular surety company, agency</w:t>
      </w:r>
    </w:p>
    <w:p w:rsidR="005F3407" w:rsidRDefault="005F3407" w:rsidP="003341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61ACA" w:rsidRPr="005F3407" w:rsidRDefault="00334190" w:rsidP="005F3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Please contact </w:t>
      </w:r>
      <w:r w:rsidR="005F3407">
        <w:rPr>
          <w:rFonts w:ascii="Verdana" w:hAnsi="Verdana" w:cs="Verdana"/>
          <w:color w:val="000000"/>
          <w:sz w:val="20"/>
          <w:szCs w:val="20"/>
        </w:rPr>
        <w:t>Procurement Services</w:t>
      </w:r>
      <w:r>
        <w:rPr>
          <w:rFonts w:ascii="Verdana" w:hAnsi="Verdana" w:cs="Verdana"/>
          <w:color w:val="000000"/>
          <w:sz w:val="20"/>
          <w:szCs w:val="20"/>
        </w:rPr>
        <w:t xml:space="preserve"> if there are any</w:t>
      </w:r>
      <w:r w:rsidR="005F340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questions regarding this policy and required practices.</w:t>
      </w:r>
      <w:bookmarkStart w:id="0" w:name="_GoBack"/>
      <w:bookmarkEnd w:id="0"/>
    </w:p>
    <w:sectPr w:rsidR="00D61ACA" w:rsidRPr="005F3407" w:rsidSect="00C126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5F" w:rsidRDefault="00E73A5F" w:rsidP="005F3407">
      <w:pPr>
        <w:spacing w:after="0" w:line="240" w:lineRule="auto"/>
      </w:pPr>
      <w:r>
        <w:separator/>
      </w:r>
    </w:p>
  </w:endnote>
  <w:endnote w:type="continuationSeparator" w:id="0">
    <w:p w:rsidR="00E73A5F" w:rsidRDefault="00E73A5F" w:rsidP="005F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07" w:rsidRDefault="005F3407" w:rsidP="005F3407">
    <w:pPr>
      <w:pStyle w:val="Footer"/>
      <w:jc w:val="right"/>
    </w:pPr>
    <w:r>
      <w:t>Revised 06/2014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5F" w:rsidRDefault="00E73A5F" w:rsidP="005F3407">
      <w:pPr>
        <w:spacing w:after="0" w:line="240" w:lineRule="auto"/>
      </w:pPr>
      <w:r>
        <w:separator/>
      </w:r>
    </w:p>
  </w:footnote>
  <w:footnote w:type="continuationSeparator" w:id="0">
    <w:p w:rsidR="00E73A5F" w:rsidRDefault="00E73A5F" w:rsidP="005F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7DB"/>
    <w:multiLevelType w:val="hybridMultilevel"/>
    <w:tmpl w:val="D4B0F8B4"/>
    <w:lvl w:ilvl="0" w:tplc="88603850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DA6"/>
    <w:multiLevelType w:val="hybridMultilevel"/>
    <w:tmpl w:val="431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738"/>
    <w:multiLevelType w:val="hybridMultilevel"/>
    <w:tmpl w:val="8064FE74"/>
    <w:lvl w:ilvl="0" w:tplc="F1ACFA92">
      <w:start w:val="2"/>
      <w:numFmt w:val="bullet"/>
      <w:lvlText w:val=""/>
      <w:lvlJc w:val="left"/>
      <w:pPr>
        <w:ind w:left="720" w:hanging="360"/>
      </w:pPr>
      <w:rPr>
        <w:rFonts w:ascii="SymbolMT" w:eastAsia="SymbolMT" w:hAnsi="Verdana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0"/>
    <w:rsid w:val="000D075C"/>
    <w:rsid w:val="001B28F1"/>
    <w:rsid w:val="00334190"/>
    <w:rsid w:val="005702C3"/>
    <w:rsid w:val="005F3407"/>
    <w:rsid w:val="007F0940"/>
    <w:rsid w:val="00A71654"/>
    <w:rsid w:val="00C126B0"/>
    <w:rsid w:val="00D61ACA"/>
    <w:rsid w:val="00D7414D"/>
    <w:rsid w:val="00E73A5F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90"/>
    <w:pPr>
      <w:ind w:left="720"/>
      <w:contextualSpacing/>
    </w:pPr>
  </w:style>
  <w:style w:type="table" w:styleId="TableGrid">
    <w:name w:val="Table Grid"/>
    <w:basedOn w:val="TableNormal"/>
    <w:uiPriority w:val="59"/>
    <w:rsid w:val="005F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07"/>
  </w:style>
  <w:style w:type="paragraph" w:styleId="Footer">
    <w:name w:val="footer"/>
    <w:basedOn w:val="Normal"/>
    <w:link w:val="FooterChar"/>
    <w:uiPriority w:val="99"/>
    <w:unhideWhenUsed/>
    <w:rsid w:val="005F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90"/>
    <w:pPr>
      <w:ind w:left="720"/>
      <w:contextualSpacing/>
    </w:pPr>
  </w:style>
  <w:style w:type="table" w:styleId="TableGrid">
    <w:name w:val="Table Grid"/>
    <w:basedOn w:val="TableNormal"/>
    <w:uiPriority w:val="59"/>
    <w:rsid w:val="005F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4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07"/>
  </w:style>
  <w:style w:type="paragraph" w:styleId="Footer">
    <w:name w:val="footer"/>
    <w:basedOn w:val="Normal"/>
    <w:link w:val="FooterChar"/>
    <w:uiPriority w:val="99"/>
    <w:unhideWhenUsed/>
    <w:rsid w:val="005F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sapp.state.pa.us/cabd/mwbdat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ONYANGO</cp:lastModifiedBy>
  <cp:revision>4</cp:revision>
  <dcterms:created xsi:type="dcterms:W3CDTF">2013-06-17T12:13:00Z</dcterms:created>
  <dcterms:modified xsi:type="dcterms:W3CDTF">2014-06-19T18:46:00Z</dcterms:modified>
</cp:coreProperties>
</file>