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175" w:rsidRDefault="00DF7175" w:rsidP="00DF7175">
      <w:pPr>
        <w:spacing w:after="0"/>
        <w:ind w:left="1440" w:hanging="720"/>
        <w:jc w:val="both"/>
        <w:rPr>
          <w:rFonts w:asciiTheme="minorHAnsi" w:hAnsiTheme="minorHAnsi" w:cs="Times New Roman"/>
          <w:sz w:val="22"/>
          <w:szCs w:val="22"/>
        </w:rPr>
      </w:pPr>
      <w:bookmarkStart w:id="0" w:name="_GoBack"/>
      <w:bookmarkEnd w:id="0"/>
    </w:p>
    <w:p w:rsidR="00DF7175" w:rsidRPr="00FB07A6" w:rsidRDefault="00DF7175" w:rsidP="00DF7175">
      <w:pPr>
        <w:autoSpaceDE w:val="0"/>
        <w:autoSpaceDN w:val="0"/>
        <w:adjustRightInd w:val="0"/>
        <w:spacing w:after="0" w:line="240" w:lineRule="auto"/>
        <w:jc w:val="both"/>
        <w:rPr>
          <w:rFonts w:asciiTheme="minorHAnsi" w:hAnsiTheme="minorHAnsi" w:cs="Times New Roman"/>
          <w:b/>
          <w:bCs/>
          <w:sz w:val="28"/>
        </w:rPr>
      </w:pPr>
      <w:proofErr w:type="spellStart"/>
      <w:r w:rsidRPr="00FB07A6">
        <w:rPr>
          <w:rFonts w:asciiTheme="minorHAnsi" w:hAnsiTheme="minorHAnsi" w:cs="Times New Roman"/>
          <w:b/>
          <w:bCs/>
          <w:sz w:val="28"/>
        </w:rPr>
        <w:t>C</w:t>
      </w:r>
      <w:r w:rsidR="00F36B12">
        <w:rPr>
          <w:rFonts w:asciiTheme="minorHAnsi" w:hAnsiTheme="minorHAnsi" w:cs="Times New Roman"/>
          <w:b/>
          <w:bCs/>
          <w:sz w:val="28"/>
        </w:rPr>
        <w:t>heyney</w:t>
      </w:r>
      <w:proofErr w:type="spellEnd"/>
      <w:r w:rsidR="00F36B12">
        <w:rPr>
          <w:rFonts w:asciiTheme="minorHAnsi" w:hAnsiTheme="minorHAnsi" w:cs="Times New Roman"/>
          <w:b/>
          <w:bCs/>
          <w:sz w:val="28"/>
        </w:rPr>
        <w:t xml:space="preserve"> University Policy FA-2013-1013</w:t>
      </w:r>
      <w:r w:rsidRPr="00FB07A6">
        <w:rPr>
          <w:rFonts w:asciiTheme="minorHAnsi" w:hAnsiTheme="minorHAnsi" w:cs="Times New Roman"/>
          <w:b/>
          <w:bCs/>
          <w:sz w:val="28"/>
        </w:rPr>
        <w:t xml:space="preserve">  </w:t>
      </w:r>
    </w:p>
    <w:p w:rsidR="00DF7175" w:rsidRPr="003C5794" w:rsidRDefault="00DF7175" w:rsidP="00DF7175">
      <w:pPr>
        <w:spacing w:before="100" w:beforeAutospacing="1" w:after="100" w:afterAutospacing="1"/>
        <w:rPr>
          <w:rFonts w:asciiTheme="minorHAnsi" w:hAnsiTheme="minorHAnsi" w:cstheme="minorHAnsi"/>
          <w:color w:val="4F81BD" w:themeColor="accent1"/>
        </w:rPr>
      </w:pPr>
      <w:r w:rsidRPr="003C5794">
        <w:rPr>
          <w:rFonts w:asciiTheme="minorHAnsi" w:hAnsiTheme="minorHAnsi" w:cstheme="minorHAnsi"/>
          <w:b/>
          <w:bCs/>
          <w:color w:val="4F81BD" w:themeColor="accent1"/>
          <w:sz w:val="27"/>
          <w:szCs w:val="27"/>
        </w:rPr>
        <w:t>Policy on Reporting Allegations of Sexual</w:t>
      </w:r>
      <w:r w:rsidR="00F36B12">
        <w:rPr>
          <w:rFonts w:asciiTheme="minorHAnsi" w:hAnsiTheme="minorHAnsi" w:cstheme="minorHAnsi"/>
          <w:b/>
          <w:bCs/>
          <w:color w:val="4F81BD" w:themeColor="accent1"/>
          <w:sz w:val="27"/>
          <w:szCs w:val="27"/>
        </w:rPr>
        <w:t xml:space="preserve"> Abuse/Assault </w:t>
      </w:r>
    </w:p>
    <w:tbl>
      <w:tblPr>
        <w:tblW w:w="4897" w:type="pct"/>
        <w:tblCellSpacing w:w="15" w:type="dxa"/>
        <w:tblCellMar>
          <w:top w:w="15" w:type="dxa"/>
          <w:left w:w="15" w:type="dxa"/>
          <w:bottom w:w="15" w:type="dxa"/>
          <w:right w:w="15" w:type="dxa"/>
        </w:tblCellMar>
        <w:tblLook w:val="0000" w:firstRow="0" w:lastRow="0" w:firstColumn="0" w:lastColumn="0" w:noHBand="0" w:noVBand="0"/>
      </w:tblPr>
      <w:tblGrid>
        <w:gridCol w:w="2702"/>
        <w:gridCol w:w="870"/>
        <w:gridCol w:w="5683"/>
      </w:tblGrid>
      <w:tr w:rsidR="00DF7175" w:rsidRPr="0007310A" w:rsidTr="006D0ECE">
        <w:trPr>
          <w:trHeight w:val="364"/>
          <w:tblCellSpacing w:w="15" w:type="dxa"/>
        </w:trPr>
        <w:tc>
          <w:tcPr>
            <w:tcW w:w="1440" w:type="pct"/>
            <w:vAlign w:val="center"/>
          </w:tcPr>
          <w:p w:rsidR="00DF7175" w:rsidRPr="0007310A" w:rsidRDefault="00DF7175" w:rsidP="006D0ECE">
            <w:pPr>
              <w:jc w:val="both"/>
              <w:rPr>
                <w:rFonts w:asciiTheme="minorHAnsi" w:hAnsiTheme="minorHAnsi"/>
                <w:sz w:val="22"/>
                <w:szCs w:val="22"/>
              </w:rPr>
            </w:pPr>
            <w:r w:rsidRPr="0007310A">
              <w:rPr>
                <w:rStyle w:val="Strong"/>
                <w:rFonts w:asciiTheme="minorHAnsi" w:hAnsiTheme="minorHAnsi"/>
                <w:sz w:val="22"/>
                <w:szCs w:val="22"/>
              </w:rPr>
              <w:t xml:space="preserve">Approved by: </w:t>
            </w:r>
          </w:p>
        </w:tc>
        <w:tc>
          <w:tcPr>
            <w:tcW w:w="3511" w:type="pct"/>
            <w:gridSpan w:val="2"/>
            <w:vAlign w:val="center"/>
          </w:tcPr>
          <w:p w:rsidR="00DF7175" w:rsidRPr="00FB07A6" w:rsidRDefault="00F36B12" w:rsidP="006D0ECE">
            <w:pPr>
              <w:jc w:val="both"/>
              <w:rPr>
                <w:rFonts w:asciiTheme="minorHAnsi" w:hAnsiTheme="minorHAnsi"/>
                <w:sz w:val="22"/>
                <w:szCs w:val="22"/>
              </w:rPr>
            </w:pPr>
            <w:r>
              <w:rPr>
                <w:rFonts w:asciiTheme="minorHAnsi" w:hAnsiTheme="minorHAnsi"/>
                <w:sz w:val="22"/>
                <w:szCs w:val="22"/>
              </w:rPr>
              <w:t>FA</w:t>
            </w:r>
            <w:r w:rsidR="00DF7175" w:rsidRPr="00FB07A6">
              <w:rPr>
                <w:rFonts w:asciiTheme="minorHAnsi" w:hAnsiTheme="minorHAnsi"/>
                <w:sz w:val="22"/>
                <w:szCs w:val="22"/>
              </w:rPr>
              <w:t xml:space="preserve">/ President’s Cabinet </w:t>
            </w:r>
          </w:p>
        </w:tc>
      </w:tr>
      <w:tr w:rsidR="00DF7175" w:rsidRPr="0007310A" w:rsidTr="006D0ECE">
        <w:trPr>
          <w:trHeight w:val="364"/>
          <w:tblCellSpacing w:w="15" w:type="dxa"/>
        </w:trPr>
        <w:tc>
          <w:tcPr>
            <w:tcW w:w="1440" w:type="pct"/>
            <w:vAlign w:val="center"/>
          </w:tcPr>
          <w:p w:rsidR="00DF7175" w:rsidRPr="0007310A" w:rsidRDefault="00DF7175" w:rsidP="006D0ECE">
            <w:pPr>
              <w:jc w:val="both"/>
              <w:rPr>
                <w:rFonts w:asciiTheme="minorHAnsi" w:hAnsiTheme="minorHAnsi"/>
                <w:sz w:val="22"/>
                <w:szCs w:val="22"/>
              </w:rPr>
            </w:pPr>
            <w:r w:rsidRPr="0007310A">
              <w:rPr>
                <w:rStyle w:val="Strong"/>
                <w:rFonts w:asciiTheme="minorHAnsi" w:hAnsiTheme="minorHAnsi"/>
                <w:sz w:val="22"/>
                <w:szCs w:val="22"/>
              </w:rPr>
              <w:t>History:</w:t>
            </w:r>
          </w:p>
        </w:tc>
        <w:tc>
          <w:tcPr>
            <w:tcW w:w="455" w:type="pct"/>
            <w:vAlign w:val="center"/>
          </w:tcPr>
          <w:p w:rsidR="00DF7175" w:rsidRPr="0007310A" w:rsidRDefault="00F36B12" w:rsidP="006D0ECE">
            <w:pPr>
              <w:jc w:val="both"/>
              <w:rPr>
                <w:rFonts w:asciiTheme="minorHAnsi" w:hAnsiTheme="minorHAnsi"/>
                <w:sz w:val="22"/>
                <w:szCs w:val="22"/>
              </w:rPr>
            </w:pPr>
            <w:r>
              <w:rPr>
                <w:rFonts w:asciiTheme="minorHAnsi" w:hAnsiTheme="minorHAnsi"/>
                <w:sz w:val="22"/>
                <w:szCs w:val="22"/>
              </w:rPr>
              <w:t>Issued</w:t>
            </w:r>
            <w:r w:rsidR="00DF7175">
              <w:rPr>
                <w:rFonts w:asciiTheme="minorHAnsi" w:hAnsiTheme="minorHAnsi"/>
                <w:sz w:val="22"/>
                <w:szCs w:val="22"/>
              </w:rPr>
              <w:t xml:space="preserve"> </w:t>
            </w:r>
          </w:p>
        </w:tc>
        <w:tc>
          <w:tcPr>
            <w:tcW w:w="3040" w:type="pct"/>
            <w:vAlign w:val="center"/>
          </w:tcPr>
          <w:p w:rsidR="00DF7175" w:rsidRPr="0007310A" w:rsidRDefault="00DF7175" w:rsidP="006D0ECE">
            <w:pPr>
              <w:jc w:val="both"/>
              <w:rPr>
                <w:rFonts w:asciiTheme="minorHAnsi" w:hAnsiTheme="minorHAnsi"/>
                <w:sz w:val="22"/>
                <w:szCs w:val="22"/>
              </w:rPr>
            </w:pPr>
            <w:r>
              <w:rPr>
                <w:rFonts w:asciiTheme="minorHAnsi" w:hAnsiTheme="minorHAnsi"/>
                <w:sz w:val="22"/>
                <w:szCs w:val="22"/>
              </w:rPr>
              <w:t>11-11-2011</w:t>
            </w:r>
            <w:r w:rsidR="00F36B12">
              <w:rPr>
                <w:rFonts w:asciiTheme="minorHAnsi" w:hAnsiTheme="minorHAnsi"/>
                <w:sz w:val="22"/>
                <w:szCs w:val="22"/>
              </w:rPr>
              <w:t xml:space="preserve"> – Revised 10-18-13</w:t>
            </w:r>
          </w:p>
        </w:tc>
      </w:tr>
      <w:tr w:rsidR="00DF7175" w:rsidRPr="0007310A" w:rsidTr="006D0ECE">
        <w:trPr>
          <w:trHeight w:val="364"/>
          <w:tblCellSpacing w:w="15" w:type="dxa"/>
        </w:trPr>
        <w:tc>
          <w:tcPr>
            <w:tcW w:w="0" w:type="auto"/>
            <w:vAlign w:val="center"/>
          </w:tcPr>
          <w:p w:rsidR="00DF7175" w:rsidRPr="0007310A" w:rsidRDefault="00DF7175" w:rsidP="006D0ECE">
            <w:pPr>
              <w:jc w:val="both"/>
              <w:rPr>
                <w:rFonts w:asciiTheme="minorHAnsi" w:hAnsiTheme="minorHAnsi"/>
                <w:sz w:val="22"/>
                <w:szCs w:val="22"/>
              </w:rPr>
            </w:pPr>
            <w:r w:rsidRPr="0007310A">
              <w:rPr>
                <w:rStyle w:val="Strong"/>
                <w:rFonts w:asciiTheme="minorHAnsi" w:hAnsiTheme="minorHAnsi"/>
                <w:sz w:val="22"/>
                <w:szCs w:val="22"/>
              </w:rPr>
              <w:t>Related Policies:</w:t>
            </w:r>
          </w:p>
        </w:tc>
        <w:tc>
          <w:tcPr>
            <w:tcW w:w="0" w:type="auto"/>
            <w:gridSpan w:val="2"/>
            <w:vAlign w:val="center"/>
          </w:tcPr>
          <w:p w:rsidR="00DF7175" w:rsidRPr="0007310A" w:rsidRDefault="00DF7175" w:rsidP="006D0ECE">
            <w:pPr>
              <w:jc w:val="both"/>
              <w:rPr>
                <w:rFonts w:asciiTheme="minorHAnsi" w:hAnsiTheme="minorHAnsi"/>
                <w:sz w:val="22"/>
                <w:szCs w:val="22"/>
              </w:rPr>
            </w:pPr>
            <w:r>
              <w:rPr>
                <w:rFonts w:asciiTheme="minorHAnsi" w:hAnsiTheme="minorHAnsi"/>
                <w:sz w:val="22"/>
                <w:szCs w:val="22"/>
              </w:rPr>
              <w:t>n/a</w:t>
            </w:r>
          </w:p>
        </w:tc>
      </w:tr>
      <w:tr w:rsidR="00DF7175" w:rsidRPr="0007310A" w:rsidTr="006D0ECE">
        <w:trPr>
          <w:trHeight w:val="364"/>
          <w:tblCellSpacing w:w="15" w:type="dxa"/>
        </w:trPr>
        <w:tc>
          <w:tcPr>
            <w:tcW w:w="0" w:type="auto"/>
            <w:vAlign w:val="center"/>
          </w:tcPr>
          <w:p w:rsidR="00DF7175" w:rsidRPr="0007310A" w:rsidRDefault="00DF7175" w:rsidP="006D0ECE">
            <w:pPr>
              <w:jc w:val="both"/>
              <w:rPr>
                <w:rFonts w:asciiTheme="minorHAnsi" w:hAnsiTheme="minorHAnsi"/>
                <w:sz w:val="22"/>
                <w:szCs w:val="22"/>
              </w:rPr>
            </w:pPr>
            <w:r w:rsidRPr="0007310A">
              <w:rPr>
                <w:rStyle w:val="Strong"/>
                <w:rFonts w:asciiTheme="minorHAnsi" w:hAnsiTheme="minorHAnsi"/>
                <w:sz w:val="22"/>
                <w:szCs w:val="22"/>
              </w:rPr>
              <w:t>Additional References:</w:t>
            </w:r>
          </w:p>
        </w:tc>
        <w:tc>
          <w:tcPr>
            <w:tcW w:w="0" w:type="auto"/>
            <w:gridSpan w:val="2"/>
            <w:vAlign w:val="center"/>
          </w:tcPr>
          <w:p w:rsidR="00DF7175" w:rsidRPr="0007310A" w:rsidRDefault="00DF7175" w:rsidP="006D0ECE">
            <w:pPr>
              <w:jc w:val="both"/>
              <w:rPr>
                <w:rFonts w:asciiTheme="minorHAnsi" w:hAnsiTheme="minorHAnsi"/>
                <w:sz w:val="22"/>
                <w:szCs w:val="22"/>
              </w:rPr>
            </w:pPr>
            <w:r>
              <w:rPr>
                <w:rFonts w:asciiTheme="minorHAnsi" w:hAnsiTheme="minorHAnsi"/>
                <w:sz w:val="22"/>
                <w:szCs w:val="22"/>
              </w:rPr>
              <w:t>n/a</w:t>
            </w:r>
          </w:p>
        </w:tc>
      </w:tr>
    </w:tbl>
    <w:p w:rsidR="00DF7175" w:rsidRPr="00C3143B" w:rsidRDefault="00DF7175" w:rsidP="00DF7175">
      <w:pPr>
        <w:spacing w:after="0"/>
        <w:ind w:left="1440" w:hanging="720"/>
        <w:jc w:val="both"/>
        <w:rPr>
          <w:rFonts w:asciiTheme="minorHAnsi" w:hAnsiTheme="minorHAnsi" w:cs="Times New Roman"/>
          <w:b/>
          <w:sz w:val="22"/>
          <w:szCs w:val="22"/>
        </w:rPr>
      </w:pPr>
    </w:p>
    <w:p w:rsidR="00DF7175" w:rsidRPr="00F2268A" w:rsidRDefault="00DF7175" w:rsidP="00F2268A">
      <w:pPr>
        <w:spacing w:after="0"/>
        <w:ind w:left="1440" w:hanging="720"/>
        <w:jc w:val="both"/>
        <w:rPr>
          <w:rFonts w:asciiTheme="minorHAnsi" w:hAnsiTheme="minorHAnsi" w:cs="Times New Roman"/>
          <w:sz w:val="22"/>
          <w:szCs w:val="22"/>
        </w:rPr>
      </w:pPr>
    </w:p>
    <w:p w:rsidR="00F2268A" w:rsidRPr="00F2268A" w:rsidRDefault="00F2268A" w:rsidP="00F2268A">
      <w:pPr>
        <w:spacing w:after="0" w:line="240" w:lineRule="auto"/>
        <w:jc w:val="both"/>
        <w:rPr>
          <w:rFonts w:asciiTheme="minorHAnsi" w:eastAsia="Times New Roman" w:hAnsiTheme="minorHAnsi" w:cstheme="minorHAnsi"/>
          <w:b/>
          <w:bCs/>
          <w:sz w:val="22"/>
          <w:szCs w:val="22"/>
        </w:rPr>
      </w:pPr>
      <w:r w:rsidRPr="00F2268A">
        <w:rPr>
          <w:rFonts w:asciiTheme="minorHAnsi" w:eastAsia="Times New Roman" w:hAnsiTheme="minorHAnsi" w:cstheme="minorHAnsi"/>
          <w:b/>
          <w:bCs/>
          <w:sz w:val="22"/>
          <w:szCs w:val="22"/>
        </w:rPr>
        <w:t>I.</w:t>
      </w:r>
      <w:r w:rsidRPr="00F2268A">
        <w:rPr>
          <w:rFonts w:ascii="Times New Roman" w:eastAsia="Times New Roman" w:hAnsi="Times New Roman" w:cs="Times New Roman"/>
          <w:b/>
          <w:bCs/>
          <w:sz w:val="22"/>
          <w:szCs w:val="22"/>
        </w:rPr>
        <w:tab/>
      </w:r>
      <w:r w:rsidRPr="00F2268A">
        <w:rPr>
          <w:rFonts w:asciiTheme="minorHAnsi" w:eastAsia="Times New Roman" w:hAnsiTheme="minorHAnsi" w:cstheme="minorHAnsi"/>
          <w:b/>
          <w:bCs/>
          <w:sz w:val="22"/>
          <w:szCs w:val="22"/>
        </w:rPr>
        <w:t>Purpose</w:t>
      </w:r>
    </w:p>
    <w:p w:rsidR="00F2268A" w:rsidRPr="00F2268A" w:rsidRDefault="00F2268A" w:rsidP="00F2268A">
      <w:pPr>
        <w:spacing w:after="0" w:line="240" w:lineRule="auto"/>
        <w:jc w:val="both"/>
        <w:rPr>
          <w:rFonts w:asciiTheme="minorHAnsi" w:eastAsia="Times New Roman" w:hAnsiTheme="minorHAnsi" w:cstheme="minorHAnsi"/>
          <w:bCs/>
          <w:sz w:val="22"/>
          <w:szCs w:val="22"/>
        </w:rPr>
      </w:pPr>
      <w:r w:rsidRPr="00F2268A">
        <w:rPr>
          <w:rFonts w:asciiTheme="minorHAnsi" w:eastAsia="Times New Roman" w:hAnsiTheme="minorHAnsi" w:cstheme="minorHAnsi"/>
          <w:bCs/>
          <w:sz w:val="22"/>
          <w:szCs w:val="22"/>
        </w:rPr>
        <w:tab/>
      </w:r>
    </w:p>
    <w:p w:rsidR="00F2268A" w:rsidRPr="00F2268A" w:rsidRDefault="00F2268A" w:rsidP="00F36B12">
      <w:pPr>
        <w:spacing w:after="0" w:line="240" w:lineRule="auto"/>
        <w:ind w:left="720"/>
        <w:jc w:val="both"/>
        <w:rPr>
          <w:rFonts w:asciiTheme="minorHAnsi" w:eastAsia="Times New Roman" w:hAnsiTheme="minorHAnsi" w:cstheme="minorHAnsi"/>
          <w:bCs/>
          <w:sz w:val="22"/>
          <w:szCs w:val="22"/>
        </w:rPr>
      </w:pPr>
      <w:r w:rsidRPr="00F2268A">
        <w:rPr>
          <w:rFonts w:asciiTheme="minorHAnsi" w:eastAsia="Times New Roman" w:hAnsiTheme="minorHAnsi" w:cstheme="minorHAnsi"/>
          <w:bCs/>
          <w:sz w:val="22"/>
          <w:szCs w:val="22"/>
        </w:rPr>
        <w:t>To ensure the fulfillment of our moral obli</w:t>
      </w:r>
      <w:r w:rsidR="00F36B12">
        <w:rPr>
          <w:rFonts w:asciiTheme="minorHAnsi" w:eastAsia="Times New Roman" w:hAnsiTheme="minorHAnsi" w:cstheme="minorHAnsi"/>
          <w:bCs/>
          <w:sz w:val="22"/>
          <w:szCs w:val="22"/>
        </w:rPr>
        <w:t xml:space="preserve">gation to protect students, staff and Faculty </w:t>
      </w:r>
      <w:r w:rsidRPr="00F2268A">
        <w:rPr>
          <w:rFonts w:asciiTheme="minorHAnsi" w:eastAsia="Times New Roman" w:hAnsiTheme="minorHAnsi" w:cstheme="minorHAnsi"/>
          <w:bCs/>
          <w:sz w:val="22"/>
          <w:szCs w:val="22"/>
        </w:rPr>
        <w:t>and the obligation that is mandated by Pennsylvania law</w:t>
      </w:r>
      <w:r w:rsidR="00F36B12">
        <w:rPr>
          <w:rFonts w:asciiTheme="minorHAnsi" w:eastAsia="Times New Roman" w:hAnsiTheme="minorHAnsi" w:cstheme="minorHAnsi"/>
          <w:bCs/>
          <w:sz w:val="22"/>
          <w:szCs w:val="22"/>
        </w:rPr>
        <w:t xml:space="preserve"> and the Federal Jeanne </w:t>
      </w:r>
      <w:proofErr w:type="spellStart"/>
      <w:r w:rsidR="00F36B12">
        <w:rPr>
          <w:rFonts w:asciiTheme="minorHAnsi" w:eastAsia="Times New Roman" w:hAnsiTheme="minorHAnsi" w:cstheme="minorHAnsi"/>
          <w:bCs/>
          <w:sz w:val="22"/>
          <w:szCs w:val="22"/>
        </w:rPr>
        <w:t>Clery</w:t>
      </w:r>
      <w:proofErr w:type="spellEnd"/>
      <w:r w:rsidR="00F36B12">
        <w:rPr>
          <w:rFonts w:asciiTheme="minorHAnsi" w:eastAsia="Times New Roman" w:hAnsiTheme="minorHAnsi" w:cstheme="minorHAnsi"/>
          <w:bCs/>
          <w:sz w:val="22"/>
          <w:szCs w:val="22"/>
        </w:rPr>
        <w:t xml:space="preserve"> Act</w:t>
      </w:r>
      <w:r w:rsidRPr="00F2268A">
        <w:rPr>
          <w:rFonts w:asciiTheme="minorHAnsi" w:eastAsia="Times New Roman" w:hAnsiTheme="minorHAnsi" w:cstheme="minorHAnsi"/>
          <w:bCs/>
          <w:sz w:val="22"/>
          <w:szCs w:val="22"/>
        </w:rPr>
        <w:t xml:space="preserve">.  </w:t>
      </w:r>
    </w:p>
    <w:p w:rsidR="00F2268A" w:rsidRPr="00F2268A" w:rsidRDefault="00F2268A" w:rsidP="00F36B12">
      <w:pPr>
        <w:spacing w:after="0" w:line="240" w:lineRule="auto"/>
        <w:ind w:left="720"/>
        <w:jc w:val="both"/>
        <w:rPr>
          <w:rFonts w:asciiTheme="minorHAnsi" w:eastAsia="Times New Roman" w:hAnsiTheme="minorHAnsi" w:cstheme="minorHAnsi"/>
          <w:bCs/>
          <w:sz w:val="22"/>
          <w:szCs w:val="22"/>
        </w:rPr>
      </w:pPr>
      <w:r w:rsidRPr="00F2268A">
        <w:rPr>
          <w:rFonts w:asciiTheme="minorHAnsi" w:eastAsia="Times New Roman" w:hAnsiTheme="minorHAnsi" w:cstheme="minorHAnsi"/>
          <w:bCs/>
          <w:sz w:val="22"/>
          <w:szCs w:val="22"/>
        </w:rPr>
        <w:t>Specifically this policy addre</w:t>
      </w:r>
      <w:r w:rsidR="00F36B12">
        <w:rPr>
          <w:rFonts w:asciiTheme="minorHAnsi" w:eastAsia="Times New Roman" w:hAnsiTheme="minorHAnsi" w:cstheme="minorHAnsi"/>
          <w:bCs/>
          <w:sz w:val="22"/>
          <w:szCs w:val="22"/>
        </w:rPr>
        <w:t xml:space="preserve">sses the sexual abuse/assault of students, staff, </w:t>
      </w:r>
      <w:proofErr w:type="gramStart"/>
      <w:r w:rsidR="00F36B12">
        <w:rPr>
          <w:rFonts w:asciiTheme="minorHAnsi" w:eastAsia="Times New Roman" w:hAnsiTheme="minorHAnsi" w:cstheme="minorHAnsi"/>
          <w:bCs/>
          <w:sz w:val="22"/>
          <w:szCs w:val="22"/>
        </w:rPr>
        <w:t>faculty</w:t>
      </w:r>
      <w:proofErr w:type="gramEnd"/>
      <w:r w:rsidR="00F36B12">
        <w:rPr>
          <w:rFonts w:asciiTheme="minorHAnsi" w:eastAsia="Times New Roman" w:hAnsiTheme="minorHAnsi" w:cstheme="minorHAnsi"/>
          <w:bCs/>
          <w:sz w:val="22"/>
          <w:szCs w:val="22"/>
        </w:rPr>
        <w:t xml:space="preserve"> of </w:t>
      </w:r>
      <w:proofErr w:type="spellStart"/>
      <w:r w:rsidR="00F36B12">
        <w:rPr>
          <w:rFonts w:asciiTheme="minorHAnsi" w:eastAsia="Times New Roman" w:hAnsiTheme="minorHAnsi" w:cstheme="minorHAnsi"/>
          <w:bCs/>
          <w:sz w:val="22"/>
          <w:szCs w:val="22"/>
        </w:rPr>
        <w:t>Cheyney</w:t>
      </w:r>
      <w:proofErr w:type="spellEnd"/>
      <w:r w:rsidR="00F36B12">
        <w:rPr>
          <w:rFonts w:asciiTheme="minorHAnsi" w:eastAsia="Times New Roman" w:hAnsiTheme="minorHAnsi" w:cstheme="minorHAnsi"/>
          <w:bCs/>
          <w:sz w:val="22"/>
          <w:szCs w:val="22"/>
        </w:rPr>
        <w:t xml:space="preserve"> University </w:t>
      </w:r>
    </w:p>
    <w:p w:rsidR="00F2268A" w:rsidRPr="00F2268A" w:rsidRDefault="00F2268A" w:rsidP="00F2268A">
      <w:pPr>
        <w:spacing w:after="0" w:line="240" w:lineRule="auto"/>
        <w:jc w:val="both"/>
        <w:rPr>
          <w:rFonts w:asciiTheme="minorHAnsi" w:eastAsia="Times New Roman" w:hAnsiTheme="minorHAnsi" w:cstheme="minorHAnsi"/>
          <w:bCs/>
          <w:sz w:val="22"/>
          <w:szCs w:val="22"/>
        </w:rPr>
      </w:pPr>
    </w:p>
    <w:p w:rsidR="00F2268A" w:rsidRPr="00F2268A" w:rsidRDefault="00F2268A" w:rsidP="00F2268A">
      <w:pPr>
        <w:spacing w:after="0" w:line="240" w:lineRule="auto"/>
        <w:jc w:val="both"/>
        <w:rPr>
          <w:rFonts w:asciiTheme="minorHAnsi" w:eastAsia="Times New Roman" w:hAnsiTheme="minorHAnsi" w:cstheme="minorHAnsi"/>
          <w:b/>
          <w:bCs/>
          <w:sz w:val="22"/>
          <w:szCs w:val="22"/>
        </w:rPr>
      </w:pPr>
      <w:r w:rsidRPr="00F2268A">
        <w:rPr>
          <w:rFonts w:asciiTheme="minorHAnsi" w:eastAsia="Times New Roman" w:hAnsiTheme="minorHAnsi" w:cstheme="minorHAnsi"/>
          <w:b/>
          <w:bCs/>
          <w:sz w:val="22"/>
          <w:szCs w:val="22"/>
        </w:rPr>
        <w:t>II.</w:t>
      </w:r>
      <w:r w:rsidRPr="00F2268A">
        <w:rPr>
          <w:rFonts w:asciiTheme="minorHAnsi" w:eastAsia="Times New Roman" w:hAnsiTheme="minorHAnsi" w:cstheme="minorHAnsi"/>
          <w:b/>
          <w:bCs/>
          <w:sz w:val="22"/>
          <w:szCs w:val="22"/>
        </w:rPr>
        <w:tab/>
        <w:t>Definition</w:t>
      </w:r>
    </w:p>
    <w:p w:rsidR="00F2268A" w:rsidRPr="00F2268A" w:rsidRDefault="00F2268A" w:rsidP="00F2268A">
      <w:pPr>
        <w:spacing w:after="0" w:line="240" w:lineRule="auto"/>
        <w:ind w:left="720"/>
        <w:jc w:val="both"/>
        <w:rPr>
          <w:rFonts w:asciiTheme="minorHAnsi" w:eastAsia="Times New Roman" w:hAnsiTheme="minorHAnsi" w:cstheme="minorHAnsi"/>
          <w:color w:val="000000"/>
          <w:sz w:val="22"/>
          <w:szCs w:val="22"/>
        </w:rPr>
      </w:pPr>
    </w:p>
    <w:p w:rsidR="00F2268A" w:rsidRPr="00F2268A" w:rsidRDefault="00F36B12" w:rsidP="00F2268A">
      <w:pPr>
        <w:spacing w:after="0" w:line="240" w:lineRule="auto"/>
        <w:ind w:left="720"/>
        <w:jc w:val="both"/>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Sexual </w:t>
      </w:r>
      <w:r w:rsidR="00F2268A" w:rsidRPr="00F2268A">
        <w:rPr>
          <w:rFonts w:asciiTheme="minorHAnsi" w:eastAsia="Times New Roman" w:hAnsiTheme="minorHAnsi" w:cstheme="minorHAnsi"/>
          <w:color w:val="000000"/>
          <w:sz w:val="22"/>
          <w:szCs w:val="22"/>
        </w:rPr>
        <w:t>Abuse</w:t>
      </w:r>
      <w:r>
        <w:rPr>
          <w:rFonts w:asciiTheme="minorHAnsi" w:eastAsia="Times New Roman" w:hAnsiTheme="minorHAnsi" w:cstheme="minorHAnsi"/>
          <w:color w:val="000000"/>
          <w:sz w:val="22"/>
          <w:szCs w:val="22"/>
        </w:rPr>
        <w:t>-Assault</w:t>
      </w:r>
      <w:r w:rsidR="00F2268A" w:rsidRPr="00F2268A">
        <w:rPr>
          <w:rFonts w:asciiTheme="minorHAnsi" w:eastAsia="Times New Roman" w:hAnsiTheme="minorHAnsi" w:cstheme="minorHAnsi"/>
          <w:color w:val="000000"/>
          <w:sz w:val="22"/>
          <w:szCs w:val="22"/>
        </w:rPr>
        <w:t xml:space="preserve"> of a </w:t>
      </w:r>
      <w:r>
        <w:rPr>
          <w:rFonts w:asciiTheme="minorHAnsi" w:eastAsia="Times New Roman" w:hAnsiTheme="minorHAnsi" w:cstheme="minorHAnsi"/>
          <w:color w:val="000000"/>
          <w:sz w:val="22"/>
          <w:szCs w:val="22"/>
        </w:rPr>
        <w:t xml:space="preserve">student, staff, faculty member of </w:t>
      </w:r>
      <w:proofErr w:type="spellStart"/>
      <w:r>
        <w:rPr>
          <w:rFonts w:asciiTheme="minorHAnsi" w:eastAsia="Times New Roman" w:hAnsiTheme="minorHAnsi" w:cstheme="minorHAnsi"/>
          <w:color w:val="000000"/>
          <w:sz w:val="22"/>
          <w:szCs w:val="22"/>
        </w:rPr>
        <w:t>Cheyney</w:t>
      </w:r>
      <w:proofErr w:type="spellEnd"/>
      <w:r>
        <w:rPr>
          <w:rFonts w:asciiTheme="minorHAnsi" w:eastAsia="Times New Roman" w:hAnsiTheme="minorHAnsi" w:cstheme="minorHAnsi"/>
          <w:color w:val="000000"/>
          <w:sz w:val="22"/>
          <w:szCs w:val="22"/>
        </w:rPr>
        <w:t xml:space="preserve"> University </w:t>
      </w:r>
      <w:r w:rsidR="00F2268A" w:rsidRPr="00F2268A">
        <w:rPr>
          <w:rFonts w:asciiTheme="minorHAnsi" w:eastAsia="Times New Roman" w:hAnsiTheme="minorHAnsi" w:cstheme="minorHAnsi"/>
          <w:color w:val="000000"/>
          <w:sz w:val="22"/>
          <w:szCs w:val="22"/>
        </w:rPr>
        <w:t>includes serious endangerment of physical or mental health due to injury by act or omission, including acts of sexual abuse includes contacts or interactions</w:t>
      </w:r>
      <w:r w:rsidR="00A43358">
        <w:rPr>
          <w:rFonts w:asciiTheme="minorHAnsi" w:eastAsia="Times New Roman" w:hAnsiTheme="minorHAnsi" w:cstheme="minorHAnsi"/>
          <w:color w:val="000000"/>
          <w:sz w:val="22"/>
          <w:szCs w:val="22"/>
        </w:rPr>
        <w:t xml:space="preserve">.  </w:t>
      </w:r>
      <w:r w:rsidR="00F2268A" w:rsidRPr="00F2268A">
        <w:rPr>
          <w:rFonts w:asciiTheme="minorHAnsi" w:eastAsia="Times New Roman" w:hAnsiTheme="minorHAnsi" w:cstheme="minorHAnsi"/>
          <w:color w:val="000000"/>
          <w:sz w:val="22"/>
          <w:szCs w:val="22"/>
        </w:rPr>
        <w:t xml:space="preserve">A </w:t>
      </w:r>
      <w:r w:rsidR="00A43358">
        <w:rPr>
          <w:rFonts w:asciiTheme="minorHAnsi" w:eastAsia="Times New Roman" w:hAnsiTheme="minorHAnsi" w:cstheme="minorHAnsi"/>
          <w:color w:val="000000"/>
          <w:sz w:val="22"/>
          <w:szCs w:val="22"/>
        </w:rPr>
        <w:t xml:space="preserve">student, staff or faculty member </w:t>
      </w:r>
      <w:r w:rsidR="00F2268A" w:rsidRPr="00F2268A">
        <w:rPr>
          <w:rFonts w:asciiTheme="minorHAnsi" w:eastAsia="Times New Roman" w:hAnsiTheme="minorHAnsi" w:cstheme="minorHAnsi"/>
          <w:color w:val="000000"/>
          <w:sz w:val="22"/>
          <w:szCs w:val="22"/>
        </w:rPr>
        <w:t>is abused</w:t>
      </w:r>
      <w:r w:rsidR="00A43358">
        <w:rPr>
          <w:rFonts w:asciiTheme="minorHAnsi" w:eastAsia="Times New Roman" w:hAnsiTheme="minorHAnsi" w:cstheme="minorHAnsi"/>
          <w:color w:val="000000"/>
          <w:sz w:val="22"/>
          <w:szCs w:val="22"/>
        </w:rPr>
        <w:t>-assaulted</w:t>
      </w:r>
      <w:r w:rsidR="00F2268A" w:rsidRPr="00F2268A">
        <w:rPr>
          <w:rFonts w:asciiTheme="minorHAnsi" w:eastAsia="Times New Roman" w:hAnsiTheme="minorHAnsi" w:cstheme="minorHAnsi"/>
          <w:color w:val="000000"/>
          <w:sz w:val="22"/>
          <w:szCs w:val="22"/>
        </w:rPr>
        <w:t xml:space="preserve"> whether or not this activity involves explicit force, whether or not it involves genital or physical contact, whether or not it is initiated by the </w:t>
      </w:r>
      <w:r w:rsidR="00A43358">
        <w:rPr>
          <w:rFonts w:asciiTheme="minorHAnsi" w:eastAsia="Times New Roman" w:hAnsiTheme="minorHAnsi" w:cstheme="minorHAnsi"/>
          <w:color w:val="000000"/>
          <w:sz w:val="22"/>
          <w:szCs w:val="22"/>
        </w:rPr>
        <w:t xml:space="preserve">student, staff or faculty member and </w:t>
      </w:r>
      <w:r w:rsidR="00F2268A" w:rsidRPr="00F2268A">
        <w:rPr>
          <w:rFonts w:asciiTheme="minorHAnsi" w:eastAsia="Times New Roman" w:hAnsiTheme="minorHAnsi" w:cstheme="minorHAnsi"/>
          <w:color w:val="000000"/>
          <w:sz w:val="22"/>
          <w:szCs w:val="22"/>
        </w:rPr>
        <w:t>whether or not there is discernible harmful outcome.</w:t>
      </w:r>
    </w:p>
    <w:p w:rsidR="00F2268A" w:rsidRPr="00F2268A" w:rsidRDefault="00F2268A" w:rsidP="00F2268A">
      <w:pPr>
        <w:spacing w:after="0" w:line="240" w:lineRule="auto"/>
        <w:jc w:val="both"/>
        <w:rPr>
          <w:rFonts w:asciiTheme="minorHAnsi" w:eastAsia="Times New Roman" w:hAnsiTheme="minorHAnsi" w:cstheme="minorHAnsi"/>
          <w:b/>
          <w:bCs/>
          <w:sz w:val="22"/>
          <w:szCs w:val="22"/>
        </w:rPr>
      </w:pPr>
    </w:p>
    <w:p w:rsidR="00F2268A" w:rsidRPr="00F2268A" w:rsidRDefault="00F2268A" w:rsidP="00F2268A">
      <w:pPr>
        <w:spacing w:after="0" w:line="240" w:lineRule="auto"/>
        <w:jc w:val="both"/>
        <w:rPr>
          <w:rFonts w:asciiTheme="minorHAnsi" w:eastAsia="Times New Roman" w:hAnsiTheme="minorHAnsi" w:cstheme="minorHAnsi"/>
          <w:b/>
          <w:bCs/>
          <w:sz w:val="22"/>
          <w:szCs w:val="22"/>
        </w:rPr>
      </w:pPr>
      <w:r w:rsidRPr="00F2268A">
        <w:rPr>
          <w:rFonts w:asciiTheme="minorHAnsi" w:eastAsia="Times New Roman" w:hAnsiTheme="minorHAnsi" w:cstheme="minorHAnsi"/>
          <w:b/>
          <w:bCs/>
          <w:sz w:val="22"/>
          <w:szCs w:val="22"/>
        </w:rPr>
        <w:t>III.</w:t>
      </w:r>
      <w:r w:rsidRPr="00F2268A">
        <w:rPr>
          <w:rFonts w:asciiTheme="minorHAnsi" w:eastAsia="Times New Roman" w:hAnsiTheme="minorHAnsi" w:cstheme="minorHAnsi"/>
          <w:b/>
          <w:bCs/>
          <w:sz w:val="22"/>
          <w:szCs w:val="22"/>
        </w:rPr>
        <w:tab/>
        <w:t>Procedures</w:t>
      </w:r>
      <w:r w:rsidR="00F36B12">
        <w:rPr>
          <w:rFonts w:asciiTheme="minorHAnsi" w:eastAsia="Times New Roman" w:hAnsiTheme="minorHAnsi" w:cstheme="minorHAnsi"/>
          <w:b/>
          <w:bCs/>
          <w:sz w:val="22"/>
          <w:szCs w:val="22"/>
        </w:rPr>
        <w:t>- Policy</w:t>
      </w:r>
    </w:p>
    <w:p w:rsidR="00F2268A" w:rsidRPr="00F2268A" w:rsidRDefault="00F2268A" w:rsidP="00F2268A">
      <w:pPr>
        <w:spacing w:after="0" w:line="240" w:lineRule="auto"/>
        <w:ind w:left="720"/>
        <w:jc w:val="both"/>
        <w:rPr>
          <w:rFonts w:asciiTheme="minorHAnsi" w:eastAsia="Times New Roman" w:hAnsiTheme="minorHAnsi" w:cstheme="minorHAnsi"/>
          <w:b/>
          <w:bCs/>
          <w:color w:val="000000"/>
          <w:sz w:val="22"/>
          <w:szCs w:val="22"/>
        </w:rPr>
      </w:pPr>
    </w:p>
    <w:p w:rsidR="00F36B12" w:rsidRPr="00A43358" w:rsidRDefault="00F36B12" w:rsidP="00F36B12">
      <w:pPr>
        <w:autoSpaceDE w:val="0"/>
        <w:autoSpaceDN w:val="0"/>
        <w:adjustRightInd w:val="0"/>
        <w:spacing w:after="0" w:line="240" w:lineRule="auto"/>
        <w:rPr>
          <w:rFonts w:asciiTheme="minorHAnsi" w:hAnsiTheme="minorHAnsi" w:cstheme="minorHAnsi"/>
          <w:b/>
          <w:bCs/>
          <w:color w:val="000000"/>
          <w:sz w:val="20"/>
          <w:szCs w:val="20"/>
          <w:u w:val="single"/>
        </w:rPr>
      </w:pPr>
      <w:r w:rsidRPr="00A43358">
        <w:rPr>
          <w:rFonts w:asciiTheme="minorHAnsi" w:hAnsiTheme="minorHAnsi" w:cstheme="minorHAnsi"/>
          <w:b/>
          <w:bCs/>
          <w:color w:val="000000"/>
          <w:sz w:val="20"/>
          <w:szCs w:val="20"/>
          <w:u w:val="single"/>
        </w:rPr>
        <w:t>CAMPUS SEXUAL ASSAULT POLICY</w:t>
      </w:r>
    </w:p>
    <w:p w:rsidR="00F36B12" w:rsidRPr="00A43358" w:rsidRDefault="00F36B12" w:rsidP="00F36B12">
      <w:pPr>
        <w:autoSpaceDE w:val="0"/>
        <w:autoSpaceDN w:val="0"/>
        <w:adjustRightInd w:val="0"/>
        <w:spacing w:after="0" w:line="240" w:lineRule="auto"/>
        <w:rPr>
          <w:rFonts w:asciiTheme="minorHAnsi" w:hAnsiTheme="minorHAnsi" w:cstheme="minorHAnsi"/>
          <w:b/>
          <w:bCs/>
          <w:color w:val="000000"/>
          <w:sz w:val="20"/>
          <w:szCs w:val="20"/>
          <w:u w:val="single"/>
        </w:rPr>
      </w:pPr>
    </w:p>
    <w:p w:rsidR="00F36B12" w:rsidRDefault="00F36B12" w:rsidP="00F36B12">
      <w:pPr>
        <w:autoSpaceDE w:val="0"/>
        <w:autoSpaceDN w:val="0"/>
        <w:adjustRightInd w:val="0"/>
        <w:spacing w:after="0" w:line="240" w:lineRule="auto"/>
        <w:rPr>
          <w:rFonts w:asciiTheme="minorHAnsi" w:hAnsiTheme="minorHAnsi" w:cstheme="minorHAnsi"/>
          <w:color w:val="221F1F"/>
          <w:sz w:val="20"/>
          <w:szCs w:val="20"/>
        </w:rPr>
      </w:pPr>
      <w:proofErr w:type="spellStart"/>
      <w:r w:rsidRPr="00A43358">
        <w:rPr>
          <w:rFonts w:asciiTheme="minorHAnsi" w:hAnsiTheme="minorHAnsi" w:cstheme="minorHAnsi"/>
          <w:color w:val="221F1F"/>
          <w:sz w:val="20"/>
          <w:szCs w:val="20"/>
        </w:rPr>
        <w:t>Cheyney</w:t>
      </w:r>
      <w:proofErr w:type="spellEnd"/>
      <w:r w:rsidRPr="00A43358">
        <w:rPr>
          <w:rFonts w:asciiTheme="minorHAnsi" w:hAnsiTheme="minorHAnsi" w:cstheme="minorHAnsi"/>
          <w:color w:val="221F1F"/>
          <w:sz w:val="20"/>
          <w:szCs w:val="20"/>
        </w:rPr>
        <w:t xml:space="preserve"> University educates the student community about sexual assaults and date rape through mandatory freshman orientations each fall. The Police Department offers sexual assault education and information programs to University students and employees upon request. Literature on date rape education, risk reduction, is available through the </w:t>
      </w:r>
      <w:r w:rsidRPr="00A43358">
        <w:rPr>
          <w:rFonts w:asciiTheme="minorHAnsi" w:hAnsiTheme="minorHAnsi" w:cstheme="minorHAnsi"/>
          <w:bCs/>
          <w:color w:val="221F1F"/>
          <w:sz w:val="20"/>
          <w:szCs w:val="20"/>
        </w:rPr>
        <w:t>Office of Residence Life and Housing</w:t>
      </w:r>
      <w:r w:rsidRPr="00A43358">
        <w:rPr>
          <w:rFonts w:asciiTheme="minorHAnsi" w:hAnsiTheme="minorHAnsi" w:cstheme="minorHAnsi"/>
          <w:b/>
          <w:bCs/>
          <w:color w:val="221F1F"/>
          <w:sz w:val="20"/>
          <w:szCs w:val="20"/>
        </w:rPr>
        <w:t>,</w:t>
      </w:r>
      <w:r w:rsidRPr="00A43358">
        <w:rPr>
          <w:rFonts w:asciiTheme="minorHAnsi" w:hAnsiTheme="minorHAnsi" w:cstheme="minorHAnsi"/>
          <w:color w:val="221F1F"/>
          <w:sz w:val="20"/>
          <w:szCs w:val="20"/>
        </w:rPr>
        <w:t xml:space="preserve"> The </w:t>
      </w:r>
      <w:proofErr w:type="spellStart"/>
      <w:r w:rsidRPr="00A43358">
        <w:rPr>
          <w:rFonts w:asciiTheme="minorHAnsi" w:hAnsiTheme="minorHAnsi" w:cstheme="minorHAnsi"/>
          <w:color w:val="221F1F"/>
          <w:sz w:val="20"/>
          <w:szCs w:val="20"/>
        </w:rPr>
        <w:t>Cheyney</w:t>
      </w:r>
      <w:proofErr w:type="spellEnd"/>
      <w:r w:rsidRPr="00A43358">
        <w:rPr>
          <w:rFonts w:asciiTheme="minorHAnsi" w:hAnsiTheme="minorHAnsi" w:cstheme="minorHAnsi"/>
          <w:color w:val="221F1F"/>
          <w:sz w:val="20"/>
          <w:szCs w:val="20"/>
        </w:rPr>
        <w:t xml:space="preserve"> University Police Department, National Sexual Violence Resource Center.</w:t>
      </w:r>
    </w:p>
    <w:p w:rsidR="00A43358" w:rsidRPr="00A43358" w:rsidRDefault="00A43358" w:rsidP="00F36B12">
      <w:pPr>
        <w:autoSpaceDE w:val="0"/>
        <w:autoSpaceDN w:val="0"/>
        <w:adjustRightInd w:val="0"/>
        <w:spacing w:after="0" w:line="240" w:lineRule="auto"/>
        <w:rPr>
          <w:rFonts w:asciiTheme="minorHAnsi" w:hAnsiTheme="minorHAnsi" w:cstheme="minorHAnsi"/>
          <w:b/>
          <w:bCs/>
          <w:color w:val="221F1F"/>
          <w:sz w:val="20"/>
          <w:szCs w:val="20"/>
        </w:rPr>
      </w:pPr>
    </w:p>
    <w:p w:rsidR="00A43358" w:rsidRDefault="00F36B12" w:rsidP="00F36B12">
      <w:pPr>
        <w:autoSpaceDE w:val="0"/>
        <w:autoSpaceDN w:val="0"/>
        <w:adjustRightInd w:val="0"/>
        <w:spacing w:after="0" w:line="240" w:lineRule="auto"/>
        <w:rPr>
          <w:rFonts w:asciiTheme="minorHAnsi" w:hAnsiTheme="minorHAnsi" w:cstheme="minorHAnsi"/>
          <w:color w:val="221F1F"/>
          <w:sz w:val="20"/>
          <w:szCs w:val="20"/>
        </w:rPr>
      </w:pPr>
      <w:r w:rsidRPr="00A43358">
        <w:rPr>
          <w:rFonts w:asciiTheme="minorHAnsi" w:hAnsiTheme="minorHAnsi" w:cstheme="minorHAnsi"/>
          <w:color w:val="221F1F"/>
          <w:sz w:val="20"/>
          <w:szCs w:val="20"/>
        </w:rPr>
        <w:t xml:space="preserve">If you are a victim of a sexual assault at </w:t>
      </w:r>
      <w:proofErr w:type="spellStart"/>
      <w:r w:rsidRPr="00A43358">
        <w:rPr>
          <w:rFonts w:asciiTheme="minorHAnsi" w:hAnsiTheme="minorHAnsi" w:cstheme="minorHAnsi"/>
          <w:color w:val="221F1F"/>
          <w:sz w:val="20"/>
          <w:szCs w:val="20"/>
        </w:rPr>
        <w:t>Cheyney</w:t>
      </w:r>
      <w:proofErr w:type="spellEnd"/>
      <w:r w:rsidRPr="00A43358">
        <w:rPr>
          <w:rFonts w:asciiTheme="minorHAnsi" w:hAnsiTheme="minorHAnsi" w:cstheme="minorHAnsi"/>
          <w:color w:val="221F1F"/>
          <w:sz w:val="20"/>
          <w:szCs w:val="20"/>
        </w:rPr>
        <w:t xml:space="preserve"> University, your first priority should be to get to a place of safety. You should then obtain necessary medical treatment. The </w:t>
      </w:r>
      <w:proofErr w:type="spellStart"/>
      <w:r w:rsidRPr="00A43358">
        <w:rPr>
          <w:rFonts w:asciiTheme="minorHAnsi" w:hAnsiTheme="minorHAnsi" w:cstheme="minorHAnsi"/>
          <w:color w:val="221F1F"/>
          <w:sz w:val="20"/>
          <w:szCs w:val="20"/>
        </w:rPr>
        <w:t>Cheyney</w:t>
      </w:r>
      <w:proofErr w:type="spellEnd"/>
      <w:r w:rsidRPr="00A43358">
        <w:rPr>
          <w:rFonts w:asciiTheme="minorHAnsi" w:hAnsiTheme="minorHAnsi" w:cstheme="minorHAnsi"/>
          <w:color w:val="221F1F"/>
          <w:sz w:val="20"/>
          <w:szCs w:val="20"/>
        </w:rPr>
        <w:t xml:space="preserve"> University Police Department strongly advocates that a victim of sexual assault report the incident in a timely manner. Time is a critical factor for evidence collection and preservation. </w:t>
      </w:r>
    </w:p>
    <w:p w:rsidR="00F36B12" w:rsidRPr="00A43358" w:rsidRDefault="00F36B12" w:rsidP="00F36B12">
      <w:pPr>
        <w:autoSpaceDE w:val="0"/>
        <w:autoSpaceDN w:val="0"/>
        <w:adjustRightInd w:val="0"/>
        <w:spacing w:after="0" w:line="240" w:lineRule="auto"/>
        <w:rPr>
          <w:rFonts w:asciiTheme="minorHAnsi" w:hAnsiTheme="minorHAnsi" w:cstheme="minorHAnsi"/>
          <w:color w:val="000000"/>
          <w:sz w:val="20"/>
          <w:szCs w:val="20"/>
        </w:rPr>
      </w:pPr>
      <w:r w:rsidRPr="00A43358">
        <w:rPr>
          <w:rFonts w:asciiTheme="minorHAnsi" w:hAnsiTheme="minorHAnsi" w:cstheme="minorHAnsi"/>
          <w:color w:val="221F1F"/>
          <w:sz w:val="20"/>
          <w:szCs w:val="20"/>
        </w:rPr>
        <w:lastRenderedPageBreak/>
        <w:t xml:space="preserve">An assault should be reported directly to a University officer and/or to a Housing and Residential Education representative. Filing a police report with a University officer will not obligate the victim to prosecute, nor will it subject the victim to scrutiny or judgmental opinions from officers. Filing a police report will: </w:t>
      </w:r>
    </w:p>
    <w:p w:rsidR="00F36B12" w:rsidRPr="00A43358" w:rsidRDefault="00F36B12" w:rsidP="00F36B12">
      <w:pPr>
        <w:numPr>
          <w:ilvl w:val="0"/>
          <w:numId w:val="3"/>
        </w:numPr>
        <w:autoSpaceDE w:val="0"/>
        <w:autoSpaceDN w:val="0"/>
        <w:adjustRightInd w:val="0"/>
        <w:spacing w:after="0" w:line="240" w:lineRule="auto"/>
        <w:ind w:left="180" w:hanging="180"/>
        <w:contextualSpacing/>
        <w:rPr>
          <w:rFonts w:asciiTheme="minorHAnsi" w:hAnsiTheme="minorHAnsi" w:cstheme="minorHAnsi"/>
          <w:color w:val="000000"/>
          <w:sz w:val="20"/>
          <w:szCs w:val="20"/>
        </w:rPr>
      </w:pPr>
      <w:r w:rsidRPr="00A43358">
        <w:rPr>
          <w:rFonts w:asciiTheme="minorHAnsi" w:hAnsiTheme="minorHAnsi" w:cstheme="minorHAnsi"/>
          <w:b/>
          <w:bCs/>
          <w:color w:val="221F1F"/>
          <w:sz w:val="20"/>
          <w:szCs w:val="20"/>
        </w:rPr>
        <w:t xml:space="preserve"> </w:t>
      </w:r>
      <w:r w:rsidRPr="00A43358">
        <w:rPr>
          <w:rFonts w:asciiTheme="minorHAnsi" w:hAnsiTheme="minorHAnsi" w:cstheme="minorHAnsi"/>
          <w:color w:val="221F1F"/>
          <w:sz w:val="20"/>
          <w:szCs w:val="20"/>
        </w:rPr>
        <w:t xml:space="preserve">ensure that a victim of sexual assault receives the necessary medical treatment and tests, at no expense to the victim; </w:t>
      </w:r>
    </w:p>
    <w:p w:rsidR="00F36B12" w:rsidRPr="00A43358" w:rsidRDefault="00F36B12" w:rsidP="00F36B12">
      <w:pPr>
        <w:numPr>
          <w:ilvl w:val="0"/>
          <w:numId w:val="3"/>
        </w:numPr>
        <w:autoSpaceDE w:val="0"/>
        <w:autoSpaceDN w:val="0"/>
        <w:adjustRightInd w:val="0"/>
        <w:spacing w:after="0" w:line="240" w:lineRule="auto"/>
        <w:ind w:left="180" w:hanging="180"/>
        <w:contextualSpacing/>
        <w:rPr>
          <w:rFonts w:asciiTheme="minorHAnsi" w:hAnsiTheme="minorHAnsi" w:cstheme="minorHAnsi"/>
          <w:color w:val="000000"/>
          <w:sz w:val="20"/>
          <w:szCs w:val="20"/>
        </w:rPr>
      </w:pPr>
      <w:r w:rsidRPr="00A43358">
        <w:rPr>
          <w:rFonts w:asciiTheme="minorHAnsi" w:hAnsiTheme="minorHAnsi" w:cstheme="minorHAnsi"/>
          <w:color w:val="221F1F"/>
          <w:sz w:val="20"/>
          <w:szCs w:val="20"/>
        </w:rPr>
        <w:t xml:space="preserve">provide the opportunity for collection of evidence helpful in prosecution, which cannot be obtained later (ideally a victim of sexual assault should not wash, douche, use the toilet, or change clothing prior to a medical/legal exam); </w:t>
      </w:r>
    </w:p>
    <w:p w:rsidR="00F36B12" w:rsidRPr="00A43358" w:rsidRDefault="00F36B12" w:rsidP="00F36B12">
      <w:pPr>
        <w:numPr>
          <w:ilvl w:val="0"/>
          <w:numId w:val="3"/>
        </w:numPr>
        <w:autoSpaceDE w:val="0"/>
        <w:autoSpaceDN w:val="0"/>
        <w:adjustRightInd w:val="0"/>
        <w:spacing w:after="0" w:line="240" w:lineRule="auto"/>
        <w:ind w:left="180" w:hanging="180"/>
        <w:contextualSpacing/>
        <w:rPr>
          <w:rFonts w:asciiTheme="minorHAnsi" w:hAnsiTheme="minorHAnsi" w:cstheme="minorHAnsi"/>
          <w:color w:val="000000"/>
          <w:sz w:val="20"/>
          <w:szCs w:val="20"/>
        </w:rPr>
      </w:pPr>
      <w:proofErr w:type="gramStart"/>
      <w:r w:rsidRPr="00A43358">
        <w:rPr>
          <w:rFonts w:asciiTheme="minorHAnsi" w:hAnsiTheme="minorHAnsi" w:cstheme="minorHAnsi"/>
          <w:color w:val="221F1F"/>
          <w:sz w:val="20"/>
          <w:szCs w:val="20"/>
        </w:rPr>
        <w:t>assure</w:t>
      </w:r>
      <w:proofErr w:type="gramEnd"/>
      <w:r w:rsidRPr="00A43358">
        <w:rPr>
          <w:rFonts w:asciiTheme="minorHAnsi" w:hAnsiTheme="minorHAnsi" w:cstheme="minorHAnsi"/>
          <w:color w:val="221F1F"/>
          <w:sz w:val="20"/>
          <w:szCs w:val="20"/>
        </w:rPr>
        <w:t xml:space="preserve"> the victim has access to free confidential counseling from counselors specifically trained in the area of sexual assault crisis intervention. </w:t>
      </w:r>
    </w:p>
    <w:p w:rsidR="00F36B12" w:rsidRPr="00A43358" w:rsidRDefault="00F36B12" w:rsidP="00F36B12">
      <w:pPr>
        <w:autoSpaceDE w:val="0"/>
        <w:autoSpaceDN w:val="0"/>
        <w:adjustRightInd w:val="0"/>
        <w:spacing w:after="0" w:line="240" w:lineRule="auto"/>
        <w:rPr>
          <w:rFonts w:asciiTheme="minorHAnsi" w:hAnsiTheme="minorHAnsi" w:cstheme="minorHAnsi"/>
          <w:color w:val="000000"/>
          <w:sz w:val="20"/>
          <w:szCs w:val="20"/>
        </w:rPr>
      </w:pPr>
    </w:p>
    <w:p w:rsidR="00A43358" w:rsidRDefault="00F36B12" w:rsidP="00F36B12">
      <w:pPr>
        <w:autoSpaceDE w:val="0"/>
        <w:autoSpaceDN w:val="0"/>
        <w:adjustRightInd w:val="0"/>
        <w:spacing w:after="0" w:line="240" w:lineRule="auto"/>
        <w:rPr>
          <w:rFonts w:asciiTheme="minorHAnsi" w:hAnsiTheme="minorHAnsi" w:cstheme="minorHAnsi"/>
          <w:color w:val="221F1F"/>
          <w:sz w:val="20"/>
          <w:szCs w:val="20"/>
        </w:rPr>
      </w:pPr>
      <w:r w:rsidRPr="00A43358">
        <w:rPr>
          <w:rFonts w:asciiTheme="minorHAnsi" w:hAnsiTheme="minorHAnsi" w:cstheme="minorHAnsi"/>
          <w:color w:val="221F1F"/>
          <w:sz w:val="20"/>
          <w:szCs w:val="20"/>
        </w:rPr>
        <w:t xml:space="preserve">When a sexual assault victim contacts the </w:t>
      </w:r>
      <w:proofErr w:type="spellStart"/>
      <w:r w:rsidRPr="00A43358">
        <w:rPr>
          <w:rFonts w:asciiTheme="minorHAnsi" w:hAnsiTheme="minorHAnsi" w:cstheme="minorHAnsi"/>
          <w:color w:val="221F1F"/>
          <w:sz w:val="20"/>
          <w:szCs w:val="20"/>
        </w:rPr>
        <w:t>Cheyney</w:t>
      </w:r>
      <w:proofErr w:type="spellEnd"/>
      <w:r w:rsidRPr="00A43358">
        <w:rPr>
          <w:rFonts w:asciiTheme="minorHAnsi" w:hAnsiTheme="minorHAnsi" w:cstheme="minorHAnsi"/>
          <w:color w:val="221F1F"/>
          <w:sz w:val="20"/>
          <w:szCs w:val="20"/>
        </w:rPr>
        <w:t xml:space="preserve"> University Police Department, </w:t>
      </w:r>
      <w:proofErr w:type="spellStart"/>
      <w:r w:rsidR="00A43358">
        <w:rPr>
          <w:rFonts w:asciiTheme="minorHAnsi" w:hAnsiTheme="minorHAnsi" w:cstheme="minorHAnsi"/>
          <w:color w:val="221F1F"/>
          <w:sz w:val="20"/>
          <w:szCs w:val="20"/>
        </w:rPr>
        <w:t>Cheyney</w:t>
      </w:r>
      <w:proofErr w:type="spellEnd"/>
      <w:r w:rsidR="00A43358">
        <w:rPr>
          <w:rFonts w:asciiTheme="minorHAnsi" w:hAnsiTheme="minorHAnsi" w:cstheme="minorHAnsi"/>
          <w:color w:val="221F1F"/>
          <w:sz w:val="20"/>
          <w:szCs w:val="20"/>
        </w:rPr>
        <w:t xml:space="preserve"> University Social Equity and </w:t>
      </w:r>
      <w:r w:rsidRPr="00A43358">
        <w:rPr>
          <w:rFonts w:asciiTheme="minorHAnsi" w:hAnsiTheme="minorHAnsi" w:cstheme="minorHAnsi"/>
          <w:color w:val="221F1F"/>
          <w:sz w:val="20"/>
          <w:szCs w:val="20"/>
        </w:rPr>
        <w:t xml:space="preserve">a representative from </w:t>
      </w:r>
      <w:r w:rsidRPr="00A43358">
        <w:rPr>
          <w:rFonts w:asciiTheme="minorHAnsi" w:hAnsiTheme="minorHAnsi" w:cstheme="minorHAnsi"/>
          <w:bCs/>
          <w:color w:val="221F1F"/>
          <w:sz w:val="20"/>
          <w:szCs w:val="20"/>
        </w:rPr>
        <w:t>Office of Residence Life and Housing</w:t>
      </w:r>
      <w:r w:rsidRPr="00A43358">
        <w:rPr>
          <w:rFonts w:asciiTheme="minorHAnsi" w:hAnsiTheme="minorHAnsi" w:cstheme="minorHAnsi"/>
          <w:b/>
          <w:bCs/>
          <w:color w:val="221F1F"/>
          <w:sz w:val="20"/>
          <w:szCs w:val="20"/>
        </w:rPr>
        <w:t xml:space="preserve"> </w:t>
      </w:r>
      <w:r w:rsidR="00A43358">
        <w:rPr>
          <w:rFonts w:asciiTheme="minorHAnsi" w:hAnsiTheme="minorHAnsi" w:cstheme="minorHAnsi"/>
          <w:color w:val="221F1F"/>
          <w:sz w:val="20"/>
          <w:szCs w:val="20"/>
        </w:rPr>
        <w:t xml:space="preserve">will </w:t>
      </w:r>
      <w:r w:rsidRPr="00A43358">
        <w:rPr>
          <w:rFonts w:asciiTheme="minorHAnsi" w:hAnsiTheme="minorHAnsi" w:cstheme="minorHAnsi"/>
          <w:color w:val="221F1F"/>
          <w:sz w:val="20"/>
          <w:szCs w:val="20"/>
        </w:rPr>
        <w:t xml:space="preserve">be notified. The victim of a sexual assault may choose for the investigation to be pursued through the criminal justice system and the University Judicial Office, or only the latter. </w:t>
      </w:r>
    </w:p>
    <w:p w:rsidR="00A43358" w:rsidRDefault="00A43358" w:rsidP="00F36B12">
      <w:pPr>
        <w:autoSpaceDE w:val="0"/>
        <w:autoSpaceDN w:val="0"/>
        <w:adjustRightInd w:val="0"/>
        <w:spacing w:after="0" w:line="240" w:lineRule="auto"/>
        <w:rPr>
          <w:rFonts w:asciiTheme="minorHAnsi" w:hAnsiTheme="minorHAnsi" w:cstheme="minorHAnsi"/>
          <w:color w:val="221F1F"/>
          <w:sz w:val="20"/>
          <w:szCs w:val="20"/>
        </w:rPr>
      </w:pPr>
    </w:p>
    <w:p w:rsidR="00A43358" w:rsidRDefault="00F36B12" w:rsidP="00F36B12">
      <w:pPr>
        <w:autoSpaceDE w:val="0"/>
        <w:autoSpaceDN w:val="0"/>
        <w:adjustRightInd w:val="0"/>
        <w:spacing w:after="0" w:line="240" w:lineRule="auto"/>
        <w:rPr>
          <w:rFonts w:asciiTheme="minorHAnsi" w:hAnsiTheme="minorHAnsi" w:cstheme="minorHAnsi"/>
          <w:color w:val="221F1F"/>
          <w:sz w:val="20"/>
          <w:szCs w:val="20"/>
        </w:rPr>
      </w:pPr>
      <w:r w:rsidRPr="00A43358">
        <w:rPr>
          <w:rFonts w:asciiTheme="minorHAnsi" w:hAnsiTheme="minorHAnsi" w:cstheme="minorHAnsi"/>
          <w:color w:val="221F1F"/>
          <w:sz w:val="20"/>
          <w:szCs w:val="20"/>
        </w:rPr>
        <w:t>A University representative from the Police Department,</w:t>
      </w:r>
      <w:r w:rsidR="00A43358">
        <w:rPr>
          <w:rFonts w:asciiTheme="minorHAnsi" w:hAnsiTheme="minorHAnsi" w:cstheme="minorHAnsi"/>
          <w:color w:val="221F1F"/>
          <w:sz w:val="20"/>
          <w:szCs w:val="20"/>
        </w:rPr>
        <w:t xml:space="preserve"> Social Equity, and/or the</w:t>
      </w:r>
      <w:r w:rsidRPr="00A43358">
        <w:rPr>
          <w:rFonts w:asciiTheme="minorHAnsi" w:hAnsiTheme="minorHAnsi" w:cstheme="minorHAnsi"/>
          <w:color w:val="221F1F"/>
          <w:sz w:val="20"/>
          <w:szCs w:val="20"/>
        </w:rPr>
        <w:t xml:space="preserve"> </w:t>
      </w:r>
      <w:r w:rsidRPr="00A43358">
        <w:rPr>
          <w:rFonts w:asciiTheme="minorHAnsi" w:hAnsiTheme="minorHAnsi" w:cstheme="minorHAnsi"/>
          <w:bCs/>
          <w:color w:val="221F1F"/>
          <w:sz w:val="20"/>
          <w:szCs w:val="20"/>
        </w:rPr>
        <w:t xml:space="preserve">Office of Residence Life and Housing or support counselor </w:t>
      </w:r>
      <w:r w:rsidRPr="00A43358">
        <w:rPr>
          <w:rFonts w:asciiTheme="minorHAnsi" w:hAnsiTheme="minorHAnsi" w:cstheme="minorHAnsi"/>
          <w:color w:val="221F1F"/>
          <w:sz w:val="20"/>
          <w:szCs w:val="20"/>
        </w:rPr>
        <w:t xml:space="preserve">will guide the victim through the available options and support the victim in his or her decision. Various counseling options are available from the University through the Student Support Counselor or University Health Center. Counseling and support services outside the University system can be obtained through The </w:t>
      </w:r>
      <w:r w:rsidRPr="00A43358">
        <w:rPr>
          <w:rFonts w:asciiTheme="minorHAnsi" w:hAnsiTheme="minorHAnsi" w:cstheme="minorHAnsi"/>
          <w:bCs/>
          <w:color w:val="221F1F"/>
          <w:sz w:val="20"/>
          <w:szCs w:val="20"/>
        </w:rPr>
        <w:t xml:space="preserve">Delaware County Women </w:t>
      </w:r>
      <w:proofErr w:type="gramStart"/>
      <w:r w:rsidRPr="00A43358">
        <w:rPr>
          <w:rFonts w:asciiTheme="minorHAnsi" w:hAnsiTheme="minorHAnsi" w:cstheme="minorHAnsi"/>
          <w:bCs/>
          <w:color w:val="221F1F"/>
          <w:sz w:val="20"/>
          <w:szCs w:val="20"/>
        </w:rPr>
        <w:t>Against</w:t>
      </w:r>
      <w:proofErr w:type="gramEnd"/>
      <w:r w:rsidRPr="00A43358">
        <w:rPr>
          <w:rFonts w:asciiTheme="minorHAnsi" w:hAnsiTheme="minorHAnsi" w:cstheme="minorHAnsi"/>
          <w:bCs/>
          <w:color w:val="221F1F"/>
          <w:sz w:val="20"/>
          <w:szCs w:val="20"/>
        </w:rPr>
        <w:t xml:space="preserve"> Rape,</w:t>
      </w:r>
      <w:r w:rsidRPr="00A43358">
        <w:rPr>
          <w:rFonts w:asciiTheme="minorHAnsi" w:hAnsiTheme="minorHAnsi" w:cs="Times New Roman"/>
          <w:b/>
          <w:bCs/>
          <w:color w:val="000000"/>
          <w:sz w:val="20"/>
          <w:szCs w:val="20"/>
        </w:rPr>
        <w:t xml:space="preserve"> </w:t>
      </w:r>
      <w:r w:rsidRPr="00A43358">
        <w:rPr>
          <w:rFonts w:asciiTheme="minorHAnsi" w:hAnsiTheme="minorHAnsi" w:cstheme="minorHAnsi"/>
          <w:bCs/>
          <w:color w:val="000000"/>
          <w:sz w:val="20"/>
          <w:szCs w:val="20"/>
        </w:rPr>
        <w:t>and</w:t>
      </w:r>
      <w:r w:rsidRPr="00A43358">
        <w:rPr>
          <w:rFonts w:asciiTheme="minorHAnsi" w:hAnsiTheme="minorHAnsi" w:cstheme="minorHAnsi"/>
          <w:b/>
          <w:bCs/>
          <w:color w:val="000000"/>
          <w:sz w:val="20"/>
          <w:szCs w:val="20"/>
        </w:rPr>
        <w:t xml:space="preserve"> </w:t>
      </w:r>
      <w:r w:rsidRPr="00A43358">
        <w:rPr>
          <w:rFonts w:asciiTheme="minorHAnsi" w:hAnsiTheme="minorHAnsi" w:cstheme="minorHAnsi"/>
          <w:bCs/>
          <w:color w:val="221F1F"/>
          <w:sz w:val="20"/>
          <w:szCs w:val="20"/>
        </w:rPr>
        <w:t>The Crimes Victim Center of Chester County, Inc.</w:t>
      </w:r>
      <w:r w:rsidRPr="00A43358">
        <w:rPr>
          <w:rFonts w:asciiTheme="minorHAnsi" w:hAnsiTheme="minorHAnsi" w:cstheme="minorHAnsi"/>
          <w:color w:val="221F1F"/>
          <w:sz w:val="20"/>
          <w:szCs w:val="20"/>
        </w:rPr>
        <w:t xml:space="preserve"> </w:t>
      </w:r>
    </w:p>
    <w:p w:rsidR="00A43358" w:rsidRDefault="00A43358" w:rsidP="00F36B12">
      <w:pPr>
        <w:autoSpaceDE w:val="0"/>
        <w:autoSpaceDN w:val="0"/>
        <w:adjustRightInd w:val="0"/>
        <w:spacing w:after="0" w:line="240" w:lineRule="auto"/>
        <w:rPr>
          <w:rFonts w:asciiTheme="minorHAnsi" w:hAnsiTheme="minorHAnsi" w:cstheme="minorHAnsi"/>
          <w:color w:val="221F1F"/>
          <w:sz w:val="20"/>
          <w:szCs w:val="20"/>
        </w:rPr>
      </w:pPr>
    </w:p>
    <w:p w:rsidR="00F36B12" w:rsidRPr="00A43358" w:rsidRDefault="00F36B12" w:rsidP="00F36B12">
      <w:pPr>
        <w:autoSpaceDE w:val="0"/>
        <w:autoSpaceDN w:val="0"/>
        <w:adjustRightInd w:val="0"/>
        <w:spacing w:after="0" w:line="240" w:lineRule="auto"/>
        <w:rPr>
          <w:rFonts w:asciiTheme="minorHAnsi" w:hAnsiTheme="minorHAnsi" w:cstheme="minorHAnsi"/>
          <w:bCs/>
          <w:color w:val="000000"/>
          <w:sz w:val="20"/>
          <w:szCs w:val="20"/>
        </w:rPr>
      </w:pPr>
      <w:r w:rsidRPr="00A43358">
        <w:rPr>
          <w:rFonts w:asciiTheme="minorHAnsi" w:hAnsiTheme="minorHAnsi" w:cstheme="minorHAnsi"/>
          <w:bCs/>
          <w:color w:val="000000"/>
          <w:sz w:val="20"/>
          <w:szCs w:val="20"/>
        </w:rPr>
        <w:t>The University will make every effort to accommodate victim requests associated with academic and living situations that can reasonably be accomplished. Reasonable measures</w:t>
      </w:r>
      <w:r w:rsidRPr="00A43358">
        <w:rPr>
          <w:rFonts w:asciiTheme="minorHAnsi" w:hAnsiTheme="minorHAnsi" w:cstheme="minorHAnsi"/>
          <w:i/>
          <w:iCs/>
          <w:color w:val="221F1F"/>
          <w:sz w:val="20"/>
          <w:szCs w:val="20"/>
        </w:rPr>
        <w:t xml:space="preserve"> </w:t>
      </w:r>
      <w:r w:rsidRPr="00A43358">
        <w:rPr>
          <w:rFonts w:asciiTheme="minorHAnsi" w:hAnsiTheme="minorHAnsi" w:cstheme="minorHAnsi"/>
          <w:bCs/>
          <w:color w:val="000000"/>
          <w:sz w:val="20"/>
          <w:szCs w:val="20"/>
        </w:rPr>
        <w:t>will be taken to avoid victim/suspect contact until final disposition and due process take place. Violators of sexual assault statutes can be prosecuted criminally and are subject to University judicial proceedings as well. During judicial proceedings, both the victim and the suspect have equal rights to have others present. Both the victim and the suspect will be advised of the outcome of any judicial proceeding. A judicial hearing board may impose a sanction for violations of this nature, including probation, loss of on-campus housing, suspension, or expulsion from the institution.</w:t>
      </w:r>
    </w:p>
    <w:p w:rsidR="00F36B12" w:rsidRPr="00A43358" w:rsidRDefault="00F36B12" w:rsidP="00F36B12">
      <w:pPr>
        <w:autoSpaceDE w:val="0"/>
        <w:autoSpaceDN w:val="0"/>
        <w:adjustRightInd w:val="0"/>
        <w:spacing w:after="0" w:line="240" w:lineRule="auto"/>
        <w:rPr>
          <w:rFonts w:asciiTheme="minorHAnsi" w:hAnsiTheme="minorHAnsi" w:cstheme="minorHAnsi"/>
          <w:bCs/>
          <w:color w:val="000000"/>
          <w:sz w:val="20"/>
          <w:szCs w:val="20"/>
        </w:rPr>
      </w:pPr>
    </w:p>
    <w:p w:rsidR="00F36B12" w:rsidRPr="00A43358" w:rsidRDefault="00F36B12" w:rsidP="00F36B12">
      <w:pPr>
        <w:autoSpaceDE w:val="0"/>
        <w:autoSpaceDN w:val="0"/>
        <w:adjustRightInd w:val="0"/>
        <w:spacing w:after="0" w:line="240" w:lineRule="auto"/>
        <w:rPr>
          <w:rFonts w:asciiTheme="minorHAnsi" w:hAnsiTheme="minorHAnsi"/>
          <w:b/>
          <w:bCs/>
          <w:sz w:val="20"/>
          <w:szCs w:val="20"/>
        </w:rPr>
      </w:pPr>
    </w:p>
    <w:p w:rsidR="00F36B12" w:rsidRPr="00A43358" w:rsidRDefault="00F36B12" w:rsidP="00F36B12">
      <w:pPr>
        <w:autoSpaceDE w:val="0"/>
        <w:autoSpaceDN w:val="0"/>
        <w:adjustRightInd w:val="0"/>
        <w:spacing w:after="0" w:line="240" w:lineRule="auto"/>
        <w:rPr>
          <w:rFonts w:asciiTheme="minorHAnsi" w:hAnsiTheme="minorHAnsi"/>
          <w:b/>
          <w:bCs/>
          <w:sz w:val="20"/>
          <w:szCs w:val="20"/>
        </w:rPr>
      </w:pPr>
      <w:r w:rsidRPr="00A43358">
        <w:rPr>
          <w:rFonts w:asciiTheme="minorHAnsi" w:hAnsiTheme="minorHAnsi"/>
          <w:b/>
          <w:bCs/>
          <w:sz w:val="20"/>
          <w:szCs w:val="20"/>
        </w:rPr>
        <w:t>Disclosure to Alleged Victims of Crimes of Violence or Non-forcible Sex Offenses</w:t>
      </w:r>
    </w:p>
    <w:p w:rsidR="00F36B12" w:rsidRPr="00A43358" w:rsidRDefault="00F36B12" w:rsidP="00F36B12">
      <w:pPr>
        <w:autoSpaceDE w:val="0"/>
        <w:autoSpaceDN w:val="0"/>
        <w:adjustRightInd w:val="0"/>
        <w:spacing w:after="0" w:line="240" w:lineRule="auto"/>
        <w:rPr>
          <w:rFonts w:asciiTheme="minorHAnsi" w:hAnsiTheme="minorHAnsi" w:cstheme="minorHAnsi"/>
          <w:bCs/>
          <w:color w:val="000000"/>
          <w:sz w:val="20"/>
          <w:szCs w:val="20"/>
        </w:rPr>
      </w:pPr>
    </w:p>
    <w:p w:rsidR="00F36B12" w:rsidRPr="00A43358" w:rsidRDefault="00F36B12" w:rsidP="00F36B12">
      <w:pPr>
        <w:rPr>
          <w:rFonts w:asciiTheme="minorHAnsi" w:hAnsiTheme="minorHAnsi" w:cstheme="minorBidi"/>
          <w:sz w:val="20"/>
          <w:szCs w:val="20"/>
        </w:rPr>
      </w:pPr>
      <w:proofErr w:type="spellStart"/>
      <w:r w:rsidRPr="00A43358">
        <w:rPr>
          <w:rFonts w:asciiTheme="minorHAnsi" w:hAnsiTheme="minorHAnsi"/>
          <w:sz w:val="20"/>
          <w:szCs w:val="20"/>
        </w:rPr>
        <w:t>Cheyney</w:t>
      </w:r>
      <w:proofErr w:type="spellEnd"/>
      <w:r w:rsidRPr="00A43358">
        <w:rPr>
          <w:rFonts w:asciiTheme="minorHAnsi" w:hAnsiTheme="minorHAnsi"/>
          <w:sz w:val="20"/>
          <w:szCs w:val="20"/>
        </w:rPr>
        <w:t xml:space="preserve"> University will, upon written request, disclose to the alleged victim of a crime of violence, or a non-forcible sex offense, the results of any disciplinary hearing conducted by the college against the student who is the alleged perpetrator of the crime or offense. If the alleged victim is deceased as a result of the crime or offense, </w:t>
      </w:r>
      <w:proofErr w:type="spellStart"/>
      <w:r w:rsidRPr="00A43358">
        <w:rPr>
          <w:rFonts w:asciiTheme="minorHAnsi" w:hAnsiTheme="minorHAnsi"/>
          <w:sz w:val="20"/>
          <w:szCs w:val="20"/>
        </w:rPr>
        <w:t>Cheyney</w:t>
      </w:r>
      <w:proofErr w:type="spellEnd"/>
      <w:r w:rsidRPr="00A43358">
        <w:rPr>
          <w:rFonts w:asciiTheme="minorHAnsi" w:hAnsiTheme="minorHAnsi"/>
          <w:sz w:val="20"/>
          <w:szCs w:val="20"/>
        </w:rPr>
        <w:t xml:space="preserve"> University will provide the results of the disciplinary hearing to the victim’s next of kin, if so requested.</w:t>
      </w:r>
    </w:p>
    <w:p w:rsidR="00F36B12" w:rsidRDefault="00F36B12" w:rsidP="00F36B12"/>
    <w:p w:rsidR="00F36B12" w:rsidRDefault="00F36B12" w:rsidP="00F2268A">
      <w:pPr>
        <w:spacing w:after="0" w:line="240" w:lineRule="auto"/>
        <w:ind w:left="720"/>
        <w:jc w:val="both"/>
        <w:rPr>
          <w:rFonts w:asciiTheme="minorHAnsi" w:eastAsia="Times New Roman" w:hAnsiTheme="minorHAnsi" w:cstheme="minorHAnsi"/>
          <w:bCs/>
          <w:color w:val="000000"/>
          <w:sz w:val="22"/>
          <w:szCs w:val="22"/>
        </w:rPr>
      </w:pPr>
    </w:p>
    <w:p w:rsidR="00F36B12" w:rsidRDefault="00F36B12" w:rsidP="00F2268A">
      <w:pPr>
        <w:spacing w:after="0" w:line="240" w:lineRule="auto"/>
        <w:ind w:left="720"/>
        <w:jc w:val="both"/>
        <w:rPr>
          <w:rFonts w:asciiTheme="minorHAnsi" w:eastAsia="Times New Roman" w:hAnsiTheme="minorHAnsi" w:cstheme="minorHAnsi"/>
          <w:bCs/>
          <w:color w:val="000000"/>
          <w:sz w:val="22"/>
          <w:szCs w:val="22"/>
        </w:rPr>
      </w:pPr>
    </w:p>
    <w:p w:rsidR="00F36B12" w:rsidRDefault="00F36B12" w:rsidP="00F2268A">
      <w:pPr>
        <w:spacing w:after="0" w:line="240" w:lineRule="auto"/>
        <w:ind w:left="720"/>
        <w:jc w:val="both"/>
        <w:rPr>
          <w:rFonts w:asciiTheme="minorHAnsi" w:eastAsia="Times New Roman" w:hAnsiTheme="minorHAnsi" w:cstheme="minorHAnsi"/>
          <w:bCs/>
          <w:color w:val="000000"/>
          <w:sz w:val="22"/>
          <w:szCs w:val="22"/>
        </w:rPr>
      </w:pPr>
    </w:p>
    <w:sectPr w:rsidR="00F36B12" w:rsidSect="003C5794">
      <w:head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C1F" w:rsidRDefault="00732C1F">
      <w:pPr>
        <w:spacing w:after="0" w:line="240" w:lineRule="auto"/>
      </w:pPr>
      <w:r>
        <w:separator/>
      </w:r>
    </w:p>
  </w:endnote>
  <w:endnote w:type="continuationSeparator" w:id="0">
    <w:p w:rsidR="00732C1F" w:rsidRDefault="0073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708154"/>
      <w:docPartObj>
        <w:docPartGallery w:val="Page Numbers (Bottom of Page)"/>
        <w:docPartUnique/>
      </w:docPartObj>
    </w:sdtPr>
    <w:sdtEndPr>
      <w:rPr>
        <w:color w:val="808080" w:themeColor="background1" w:themeShade="80"/>
        <w:spacing w:val="60"/>
      </w:rPr>
    </w:sdtEndPr>
    <w:sdtContent>
      <w:p w:rsidR="00A43358" w:rsidRDefault="00A4335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22FA7" w:rsidRPr="00622FA7">
          <w:rPr>
            <w:b/>
            <w:bCs/>
            <w:noProof/>
          </w:rPr>
          <w:t>2</w:t>
        </w:r>
        <w:r>
          <w:rPr>
            <w:b/>
            <w:bCs/>
            <w:noProof/>
          </w:rPr>
          <w:fldChar w:fldCharType="end"/>
        </w:r>
        <w:r>
          <w:rPr>
            <w:b/>
            <w:bCs/>
          </w:rPr>
          <w:t xml:space="preserve"> | </w:t>
        </w:r>
        <w:r>
          <w:rPr>
            <w:color w:val="808080" w:themeColor="background1" w:themeShade="80"/>
            <w:spacing w:val="60"/>
          </w:rPr>
          <w:t>Page</w:t>
        </w:r>
      </w:p>
    </w:sdtContent>
  </w:sdt>
  <w:p w:rsidR="003C5794" w:rsidRDefault="00732C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C1F" w:rsidRDefault="00732C1F">
      <w:pPr>
        <w:spacing w:after="0" w:line="240" w:lineRule="auto"/>
      </w:pPr>
      <w:r>
        <w:separator/>
      </w:r>
    </w:p>
  </w:footnote>
  <w:footnote w:type="continuationSeparator" w:id="0">
    <w:p w:rsidR="00732C1F" w:rsidRDefault="00732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164" w:rsidRDefault="00732C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5702" o:spid="_x0000_s2051" type="#_x0000_t136" style="position:absolute;margin-left:0;margin-top:0;width:618.5pt;height:41.2pt;rotation:315;z-index:-251655168;mso-position-horizontal:center;mso-position-horizontal-relative:margin;mso-position-vertical:center;mso-position-vertical-relative:margin" o:allowincell="f" fillcolor="silver" stroked="f">
          <v:fill opacity=".5"/>
          <v:textpath style="font-family:&quot;Arial&quot;;font-size:1pt" string="Pending President's Cabinet Review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164" w:rsidRDefault="00732C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5701" o:spid="_x0000_s2050" type="#_x0000_t136" style="position:absolute;margin-left:0;margin-top:0;width:618.5pt;height:41.2pt;rotation:315;z-index:-251657216;mso-position-horizontal:center;mso-position-horizontal-relative:margin;mso-position-vertical:center;mso-position-vertical-relative:margin" o:allowincell="f" fillcolor="silver" stroked="f">
          <v:fill opacity=".5"/>
          <v:textpath style="font-family:&quot;Arial&quot;;font-size:1pt" string="Pending President's Cabinet Review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CA2"/>
    <w:multiLevelType w:val="hybridMultilevel"/>
    <w:tmpl w:val="31666620"/>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4479260B"/>
    <w:multiLevelType w:val="hybridMultilevel"/>
    <w:tmpl w:val="E2768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5A51E5E"/>
    <w:multiLevelType w:val="hybridMultilevel"/>
    <w:tmpl w:val="054C8696"/>
    <w:lvl w:ilvl="0" w:tplc="517A3F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175"/>
    <w:rsid w:val="00087C99"/>
    <w:rsid w:val="001E7C8C"/>
    <w:rsid w:val="002D2018"/>
    <w:rsid w:val="00407164"/>
    <w:rsid w:val="0049641A"/>
    <w:rsid w:val="005916EA"/>
    <w:rsid w:val="00622FA7"/>
    <w:rsid w:val="00646B60"/>
    <w:rsid w:val="0067722F"/>
    <w:rsid w:val="00732C1F"/>
    <w:rsid w:val="008E1B08"/>
    <w:rsid w:val="00A43358"/>
    <w:rsid w:val="00AC4AE2"/>
    <w:rsid w:val="00AD0EB5"/>
    <w:rsid w:val="00DF7175"/>
    <w:rsid w:val="00F2268A"/>
    <w:rsid w:val="00F3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175"/>
    <w:rPr>
      <w:rFonts w:ascii="Arial" w:hAnsi="Arial" w:cs="Arial"/>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175"/>
    <w:rPr>
      <w:rFonts w:ascii="Arial" w:hAnsi="Arial" w:cs="Arial"/>
      <w:sz w:val="26"/>
      <w:szCs w:val="28"/>
    </w:rPr>
  </w:style>
  <w:style w:type="paragraph" w:styleId="Footer">
    <w:name w:val="footer"/>
    <w:basedOn w:val="Normal"/>
    <w:link w:val="FooterChar"/>
    <w:uiPriority w:val="99"/>
    <w:unhideWhenUsed/>
    <w:rsid w:val="00DF7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175"/>
    <w:rPr>
      <w:rFonts w:ascii="Arial" w:hAnsi="Arial" w:cs="Arial"/>
      <w:sz w:val="26"/>
      <w:szCs w:val="28"/>
    </w:rPr>
  </w:style>
  <w:style w:type="character" w:styleId="Strong">
    <w:name w:val="Strong"/>
    <w:basedOn w:val="DefaultParagraphFont"/>
    <w:uiPriority w:val="22"/>
    <w:qFormat/>
    <w:rsid w:val="00DF7175"/>
    <w:rPr>
      <w:b/>
      <w:bCs/>
    </w:rPr>
  </w:style>
  <w:style w:type="paragraph" w:styleId="BalloonText">
    <w:name w:val="Balloon Text"/>
    <w:basedOn w:val="Normal"/>
    <w:link w:val="BalloonTextChar"/>
    <w:uiPriority w:val="99"/>
    <w:semiHidden/>
    <w:unhideWhenUsed/>
    <w:rsid w:val="00DF7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1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175"/>
    <w:rPr>
      <w:rFonts w:ascii="Arial" w:hAnsi="Arial" w:cs="Arial"/>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175"/>
    <w:rPr>
      <w:rFonts w:ascii="Arial" w:hAnsi="Arial" w:cs="Arial"/>
      <w:sz w:val="26"/>
      <w:szCs w:val="28"/>
    </w:rPr>
  </w:style>
  <w:style w:type="paragraph" w:styleId="Footer">
    <w:name w:val="footer"/>
    <w:basedOn w:val="Normal"/>
    <w:link w:val="FooterChar"/>
    <w:uiPriority w:val="99"/>
    <w:unhideWhenUsed/>
    <w:rsid w:val="00DF7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175"/>
    <w:rPr>
      <w:rFonts w:ascii="Arial" w:hAnsi="Arial" w:cs="Arial"/>
      <w:sz w:val="26"/>
      <w:szCs w:val="28"/>
    </w:rPr>
  </w:style>
  <w:style w:type="character" w:styleId="Strong">
    <w:name w:val="Strong"/>
    <w:basedOn w:val="DefaultParagraphFont"/>
    <w:uiPriority w:val="22"/>
    <w:qFormat/>
    <w:rsid w:val="00DF7175"/>
    <w:rPr>
      <w:b/>
      <w:bCs/>
    </w:rPr>
  </w:style>
  <w:style w:type="paragraph" w:styleId="BalloonText">
    <w:name w:val="Balloon Text"/>
    <w:basedOn w:val="Normal"/>
    <w:link w:val="BalloonTextChar"/>
    <w:uiPriority w:val="99"/>
    <w:semiHidden/>
    <w:unhideWhenUsed/>
    <w:rsid w:val="00DF7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1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31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Cheyney University</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ealmonte</dc:creator>
  <cp:lastModifiedBy>ONYANGO</cp:lastModifiedBy>
  <cp:revision>2</cp:revision>
  <dcterms:created xsi:type="dcterms:W3CDTF">2013-11-13T16:04:00Z</dcterms:created>
  <dcterms:modified xsi:type="dcterms:W3CDTF">2013-11-13T16:04:00Z</dcterms:modified>
</cp:coreProperties>
</file>