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8F" w:rsidRPr="007C078F" w:rsidRDefault="007C078F" w:rsidP="007C078F">
      <w:pPr>
        <w:spacing w:after="450" w:line="311" w:lineRule="atLeast"/>
        <w:outlineLvl w:val="0"/>
        <w:rPr>
          <w:rFonts w:ascii="Arial" w:eastAsia="Times New Roman" w:hAnsi="Arial" w:cs="Arial"/>
          <w:b/>
          <w:bCs/>
          <w:caps/>
          <w:color w:val="0075B3"/>
          <w:kern w:val="36"/>
          <w:sz w:val="27"/>
          <w:szCs w:val="27"/>
        </w:rPr>
      </w:pPr>
      <w:r w:rsidRPr="007C078F">
        <w:rPr>
          <w:rFonts w:ascii="Arial" w:eastAsia="Times New Roman" w:hAnsi="Arial" w:cs="Arial"/>
          <w:b/>
          <w:bCs/>
          <w:caps/>
          <w:color w:val="0075B3"/>
          <w:kern w:val="36"/>
          <w:sz w:val="27"/>
          <w:szCs w:val="27"/>
        </w:rPr>
        <w:t>CONTRACT TERMS AND CONDITIONS</w:t>
      </w:r>
    </w:p>
    <w:p w:rsidR="007C078F" w:rsidRPr="007C078F" w:rsidRDefault="007C078F" w:rsidP="007C078F">
      <w:pPr>
        <w:spacing w:after="270" w:line="240" w:lineRule="auto"/>
        <w:outlineLvl w:val="1"/>
        <w:rPr>
          <w:rFonts w:ascii="Arial" w:eastAsia="Times New Roman" w:hAnsi="Arial" w:cs="Arial"/>
          <w:b/>
          <w:bCs/>
          <w:color w:val="001E4A"/>
          <w:sz w:val="24"/>
          <w:szCs w:val="24"/>
        </w:rPr>
      </w:pPr>
      <w:r w:rsidRPr="007C078F">
        <w:rPr>
          <w:rFonts w:ascii="Arial" w:eastAsia="Times New Roman" w:hAnsi="Arial" w:cs="Arial"/>
          <w:b/>
          <w:bCs/>
          <w:color w:val="001E4A"/>
          <w:sz w:val="24"/>
          <w:szCs w:val="24"/>
        </w:rPr>
        <w:t>These are the university’s standard contract terms and conditions that are referenced on every Service Purchase Contract, standard contract, or purchase order. Contractors must agree to these terms and conditions in order to enter into a contract with the university.</w:t>
      </w:r>
    </w:p>
    <w:p w:rsidR="007C078F" w:rsidRPr="007C078F" w:rsidRDefault="007C078F" w:rsidP="007C078F">
      <w:pPr>
        <w:spacing w:after="270" w:line="240" w:lineRule="auto"/>
        <w:ind w:left="600"/>
        <w:outlineLvl w:val="2"/>
        <w:rPr>
          <w:rFonts w:ascii="Arial" w:eastAsia="Times New Roman" w:hAnsi="Arial" w:cs="Arial"/>
          <w:b/>
          <w:bCs/>
          <w:color w:val="0075B3"/>
          <w:sz w:val="24"/>
          <w:szCs w:val="24"/>
        </w:rPr>
      </w:pPr>
      <w:hyperlink r:id="rId4" w:history="1">
        <w:r w:rsidRPr="007C078F">
          <w:rPr>
            <w:rFonts w:ascii="Arial" w:eastAsia="Times New Roman" w:hAnsi="Arial" w:cs="Arial"/>
            <w:b/>
            <w:bCs/>
            <w:color w:val="0075B3"/>
            <w:sz w:val="24"/>
            <w:szCs w:val="24"/>
          </w:rPr>
          <w:t>RFP &amp; IFB</w:t>
        </w:r>
      </w:hyperlink>
    </w:p>
    <w:p w:rsidR="007C078F" w:rsidRPr="007C078F" w:rsidRDefault="007C078F" w:rsidP="007C078F">
      <w:pPr>
        <w:spacing w:after="270" w:line="240" w:lineRule="auto"/>
        <w:ind w:left="600"/>
        <w:outlineLvl w:val="2"/>
        <w:rPr>
          <w:rFonts w:ascii="Trebuchet MS" w:eastAsia="Times New Roman" w:hAnsi="Trebuchet MS" w:cs="Arial"/>
          <w:b/>
          <w:bCs/>
          <w:color w:val="0075B3"/>
          <w:sz w:val="20"/>
          <w:szCs w:val="20"/>
        </w:rPr>
      </w:pPr>
      <w:hyperlink r:id="rId5" w:history="1">
        <w:r w:rsidRPr="007C078F">
          <w:rPr>
            <w:rFonts w:ascii="Trebuchet MS" w:eastAsia="Times New Roman" w:hAnsi="Trebuchet MS" w:cs="Arial"/>
            <w:b/>
            <w:bCs/>
            <w:color w:val="0075B3"/>
            <w:sz w:val="20"/>
            <w:szCs w:val="20"/>
          </w:rPr>
          <w:t>Service Purchase Contract - (STD-274) Standard Contract Terms and Conditions </w:t>
        </w:r>
      </w:hyperlink>
    </w:p>
    <w:p w:rsidR="007C078F" w:rsidRPr="007C078F" w:rsidRDefault="007C078F" w:rsidP="007C078F">
      <w:pPr>
        <w:spacing w:after="270" w:line="240" w:lineRule="auto"/>
        <w:ind w:left="600"/>
        <w:outlineLvl w:val="2"/>
        <w:rPr>
          <w:rFonts w:ascii="Trebuchet MS" w:eastAsia="Times New Roman" w:hAnsi="Trebuchet MS" w:cs="Arial"/>
          <w:b/>
          <w:bCs/>
          <w:color w:val="0075B3"/>
          <w:sz w:val="20"/>
          <w:szCs w:val="20"/>
        </w:rPr>
      </w:pPr>
      <w:hyperlink r:id="rId6" w:history="1">
        <w:r w:rsidRPr="007C078F">
          <w:rPr>
            <w:rFonts w:ascii="Trebuchet MS" w:eastAsia="Times New Roman" w:hAnsi="Trebuchet MS" w:cs="Arial"/>
            <w:b/>
            <w:bCs/>
            <w:color w:val="0066CC"/>
            <w:sz w:val="20"/>
            <w:szCs w:val="20"/>
          </w:rPr>
          <w:t>Performers and Speakers</w:t>
        </w:r>
      </w:hyperlink>
    </w:p>
    <w:p w:rsidR="007C078F" w:rsidRPr="007C078F" w:rsidRDefault="007C078F" w:rsidP="007C078F">
      <w:pPr>
        <w:spacing w:after="270" w:line="240" w:lineRule="auto"/>
        <w:ind w:left="600"/>
        <w:outlineLvl w:val="2"/>
        <w:rPr>
          <w:rFonts w:ascii="Arial" w:eastAsia="Times New Roman" w:hAnsi="Arial" w:cs="Arial"/>
          <w:b/>
          <w:bCs/>
          <w:color w:val="0075B3"/>
          <w:sz w:val="24"/>
          <w:szCs w:val="24"/>
        </w:rPr>
      </w:pPr>
      <w:r w:rsidRPr="007C078F">
        <w:rPr>
          <w:rFonts w:ascii="Arial" w:eastAsia="Times New Roman" w:hAnsi="Arial" w:cs="Arial"/>
          <w:b/>
          <w:bCs/>
          <w:color w:val="0075B3"/>
          <w:sz w:val="24"/>
          <w:szCs w:val="24"/>
        </w:rPr>
        <w:t> </w:t>
      </w:r>
    </w:p>
    <w:p w:rsidR="007C078F" w:rsidRPr="007C078F" w:rsidRDefault="007C078F" w:rsidP="007C078F">
      <w:pPr>
        <w:spacing w:after="450" w:line="240" w:lineRule="auto"/>
        <w:outlineLvl w:val="0"/>
        <w:rPr>
          <w:rFonts w:ascii="Arial" w:eastAsia="Times New Roman" w:hAnsi="Arial" w:cs="Arial"/>
          <w:b/>
          <w:bCs/>
          <w:caps/>
          <w:color w:val="0075B3"/>
          <w:kern w:val="36"/>
          <w:sz w:val="27"/>
          <w:szCs w:val="27"/>
        </w:rPr>
      </w:pPr>
      <w:r w:rsidRPr="007C078F">
        <w:rPr>
          <w:rFonts w:ascii="Arial" w:eastAsia="Times New Roman" w:hAnsi="Arial" w:cs="Arial"/>
          <w:b/>
          <w:bCs/>
          <w:caps/>
          <w:color w:val="0075B3"/>
          <w:kern w:val="36"/>
          <w:sz w:val="27"/>
          <w:szCs w:val="27"/>
        </w:rPr>
        <w:t>PROHIBITED CONTRACT CLAUSES</w:t>
      </w:r>
    </w:p>
    <w:p w:rsidR="007C078F" w:rsidRPr="007C078F" w:rsidRDefault="007C078F" w:rsidP="007C078F">
      <w:pPr>
        <w:spacing w:after="270" w:line="276" w:lineRule="atLeast"/>
        <w:outlineLvl w:val="1"/>
        <w:rPr>
          <w:rFonts w:ascii="Arial" w:eastAsia="Times New Roman" w:hAnsi="Arial" w:cs="Arial"/>
          <w:b/>
          <w:bCs/>
          <w:color w:val="000000"/>
          <w:sz w:val="24"/>
          <w:szCs w:val="24"/>
        </w:rPr>
      </w:pPr>
      <w:r w:rsidRPr="007C078F">
        <w:rPr>
          <w:rFonts w:ascii="Arial" w:eastAsia="Times New Roman" w:hAnsi="Arial" w:cs="Arial"/>
          <w:b/>
          <w:bCs/>
          <w:color w:val="000000"/>
          <w:sz w:val="24"/>
          <w:szCs w:val="24"/>
        </w:rPr>
        <w:t>According to the PASSHE manual for preparing and processing contracts for goods and services the following are prohibited contracts</w:t>
      </w:r>
    </w:p>
    <w:p w:rsidR="007C078F" w:rsidRPr="007C078F" w:rsidRDefault="007C078F" w:rsidP="007C078F">
      <w:pPr>
        <w:spacing w:after="300" w:line="293" w:lineRule="atLeast"/>
        <w:ind w:left="720"/>
        <w:textAlignment w:val="baseline"/>
        <w:rPr>
          <w:rFonts w:ascii="Trebuchet MS" w:eastAsia="Times New Roman" w:hAnsi="Trebuchet MS" w:cs="Times New Roman"/>
          <w:color w:val="333333"/>
          <w:sz w:val="20"/>
          <w:szCs w:val="20"/>
        </w:rPr>
      </w:pPr>
      <w:r w:rsidRPr="007C078F">
        <w:rPr>
          <w:rFonts w:ascii="Arial" w:eastAsia="Times New Roman" w:hAnsi="Arial" w:cs="Arial"/>
          <w:color w:val="000000"/>
          <w:sz w:val="24"/>
          <w:szCs w:val="24"/>
        </w:rPr>
        <w:t>A. </w:t>
      </w:r>
      <w:hyperlink r:id="rId7" w:history="1">
        <w:r w:rsidRPr="007C078F">
          <w:rPr>
            <w:rFonts w:ascii="Arial" w:eastAsia="Times New Roman" w:hAnsi="Arial" w:cs="Arial"/>
            <w:color w:val="800080"/>
            <w:sz w:val="24"/>
            <w:szCs w:val="24"/>
            <w:bdr w:val="none" w:sz="0" w:space="0" w:color="auto" w:frame="1"/>
          </w:rPr>
          <w:t>Employee-Employer Relationship</w:t>
        </w:r>
      </w:hyperlink>
    </w:p>
    <w:p w:rsidR="007C078F" w:rsidRPr="007C078F" w:rsidRDefault="007C078F" w:rsidP="007C078F">
      <w:pPr>
        <w:spacing w:after="300" w:line="293" w:lineRule="atLeast"/>
        <w:ind w:left="720"/>
        <w:textAlignment w:val="baseline"/>
        <w:rPr>
          <w:rFonts w:ascii="Trebuchet MS" w:eastAsia="Times New Roman" w:hAnsi="Trebuchet MS" w:cs="Times New Roman"/>
          <w:color w:val="333333"/>
          <w:sz w:val="20"/>
          <w:szCs w:val="20"/>
        </w:rPr>
      </w:pPr>
      <w:r w:rsidRPr="007C078F">
        <w:rPr>
          <w:rFonts w:ascii="Arial" w:eastAsia="Times New Roman" w:hAnsi="Arial" w:cs="Arial"/>
          <w:color w:val="000000"/>
          <w:sz w:val="24"/>
          <w:szCs w:val="24"/>
        </w:rPr>
        <w:t>B.</w:t>
      </w:r>
      <w:hyperlink r:id="rId8" w:history="1">
        <w:r w:rsidRPr="007C078F">
          <w:rPr>
            <w:rFonts w:ascii="Arial" w:eastAsia="Times New Roman" w:hAnsi="Arial" w:cs="Arial"/>
            <w:color w:val="0075B3"/>
            <w:sz w:val="24"/>
            <w:szCs w:val="24"/>
          </w:rPr>
          <w:t> </w:t>
        </w:r>
        <w:r w:rsidRPr="007C078F">
          <w:rPr>
            <w:rFonts w:ascii="Arial" w:eastAsia="Times New Roman" w:hAnsi="Arial" w:cs="Arial"/>
            <w:color w:val="800080"/>
            <w:sz w:val="24"/>
            <w:szCs w:val="24"/>
            <w:bdr w:val="none" w:sz="0" w:space="0" w:color="auto" w:frame="1"/>
          </w:rPr>
          <w:t>Contracts for the Purchase of Insurance</w:t>
        </w:r>
      </w:hyperlink>
    </w:p>
    <w:p w:rsidR="007C078F" w:rsidRPr="007C078F" w:rsidRDefault="007C078F" w:rsidP="007C078F">
      <w:pPr>
        <w:spacing w:after="300" w:line="293" w:lineRule="atLeast"/>
        <w:ind w:left="720"/>
        <w:textAlignment w:val="baseline"/>
        <w:rPr>
          <w:rFonts w:ascii="Trebuchet MS" w:eastAsia="Times New Roman" w:hAnsi="Trebuchet MS" w:cs="Times New Roman"/>
          <w:color w:val="333333"/>
          <w:sz w:val="20"/>
          <w:szCs w:val="20"/>
        </w:rPr>
      </w:pPr>
      <w:r w:rsidRPr="007C078F">
        <w:rPr>
          <w:rFonts w:ascii="Arial" w:eastAsia="Times New Roman" w:hAnsi="Arial" w:cs="Arial"/>
          <w:color w:val="000000"/>
          <w:sz w:val="24"/>
          <w:szCs w:val="24"/>
        </w:rPr>
        <w:t>C. </w:t>
      </w:r>
      <w:hyperlink r:id="rId9" w:history="1">
        <w:r w:rsidRPr="007C078F">
          <w:rPr>
            <w:rFonts w:ascii="Arial" w:eastAsia="Times New Roman" w:hAnsi="Arial" w:cs="Arial"/>
            <w:color w:val="800080"/>
            <w:sz w:val="24"/>
            <w:szCs w:val="24"/>
            <w:bdr w:val="none" w:sz="0" w:space="0" w:color="auto" w:frame="1"/>
          </w:rPr>
          <w:t>Attorney Services</w:t>
        </w:r>
      </w:hyperlink>
    </w:p>
    <w:p w:rsidR="007C078F" w:rsidRPr="007C078F" w:rsidRDefault="007C078F" w:rsidP="007C078F">
      <w:pPr>
        <w:spacing w:after="300" w:line="293" w:lineRule="atLeast"/>
        <w:ind w:left="720"/>
        <w:textAlignment w:val="baseline"/>
        <w:rPr>
          <w:rFonts w:ascii="Trebuchet MS" w:eastAsia="Times New Roman" w:hAnsi="Trebuchet MS" w:cs="Times New Roman"/>
          <w:color w:val="333333"/>
          <w:sz w:val="20"/>
          <w:szCs w:val="20"/>
        </w:rPr>
      </w:pPr>
      <w:r w:rsidRPr="007C078F">
        <w:rPr>
          <w:rFonts w:ascii="Arial" w:eastAsia="Times New Roman" w:hAnsi="Arial" w:cs="Arial"/>
          <w:color w:val="000000"/>
          <w:sz w:val="24"/>
          <w:szCs w:val="24"/>
        </w:rPr>
        <w:t>D. </w:t>
      </w:r>
      <w:hyperlink r:id="rId10" w:history="1">
        <w:r w:rsidRPr="007C078F">
          <w:rPr>
            <w:rFonts w:ascii="Arial" w:eastAsia="Times New Roman" w:hAnsi="Arial" w:cs="Arial"/>
            <w:color w:val="800080"/>
            <w:sz w:val="24"/>
            <w:szCs w:val="24"/>
            <w:bdr w:val="none" w:sz="0" w:space="0" w:color="auto" w:frame="1"/>
          </w:rPr>
          <w:t>Reciprocal Limitation</w:t>
        </w:r>
        <w:bookmarkStart w:id="0" w:name="_GoBack"/>
        <w:bookmarkEnd w:id="0"/>
        <w:r w:rsidRPr="007C078F">
          <w:rPr>
            <w:rFonts w:ascii="Arial" w:eastAsia="Times New Roman" w:hAnsi="Arial" w:cs="Arial"/>
            <w:color w:val="800080"/>
            <w:sz w:val="24"/>
            <w:szCs w:val="24"/>
            <w:bdr w:val="none" w:sz="0" w:space="0" w:color="auto" w:frame="1"/>
          </w:rPr>
          <w:t>s Act</w:t>
        </w:r>
      </w:hyperlink>
    </w:p>
    <w:p w:rsidR="007C078F" w:rsidRPr="007C078F" w:rsidRDefault="007C078F" w:rsidP="007C078F">
      <w:pPr>
        <w:spacing w:after="300" w:line="293" w:lineRule="atLeast"/>
        <w:ind w:left="720"/>
        <w:textAlignment w:val="baseline"/>
        <w:rPr>
          <w:rFonts w:ascii="Trebuchet MS" w:eastAsia="Times New Roman" w:hAnsi="Trebuchet MS" w:cs="Times New Roman"/>
          <w:color w:val="333333"/>
          <w:sz w:val="20"/>
          <w:szCs w:val="20"/>
        </w:rPr>
      </w:pPr>
      <w:r w:rsidRPr="007C078F">
        <w:rPr>
          <w:rFonts w:ascii="Arial" w:eastAsia="Times New Roman" w:hAnsi="Arial" w:cs="Arial"/>
          <w:color w:val="000000"/>
          <w:sz w:val="24"/>
          <w:szCs w:val="24"/>
        </w:rPr>
        <w:t>E. </w:t>
      </w:r>
      <w:hyperlink r:id="rId11" w:history="1">
        <w:r w:rsidRPr="007C078F">
          <w:rPr>
            <w:rFonts w:ascii="Arial" w:eastAsia="Times New Roman" w:hAnsi="Arial" w:cs="Arial"/>
            <w:color w:val="800080"/>
            <w:sz w:val="24"/>
            <w:szCs w:val="24"/>
            <w:bdr w:val="none" w:sz="0" w:space="0" w:color="auto" w:frame="1"/>
          </w:rPr>
          <w:t>After the Fact Contracts</w:t>
        </w:r>
      </w:hyperlink>
    </w:p>
    <w:p w:rsidR="007C078F" w:rsidRPr="007C078F" w:rsidRDefault="007C078F" w:rsidP="007C078F">
      <w:pPr>
        <w:spacing w:after="150" w:line="276" w:lineRule="atLeast"/>
        <w:textAlignment w:val="baseline"/>
        <w:outlineLvl w:val="3"/>
        <w:rPr>
          <w:rFonts w:ascii="Arial" w:eastAsia="Times New Roman" w:hAnsi="Arial" w:cs="Arial"/>
          <w:b/>
          <w:bCs/>
          <w:color w:val="000000"/>
          <w:sz w:val="24"/>
          <w:szCs w:val="24"/>
        </w:rPr>
      </w:pPr>
      <w:bookmarkStart w:id="1" w:name="#employee-employer"/>
      <w:r w:rsidRPr="007C078F">
        <w:rPr>
          <w:rFonts w:ascii="Arial" w:eastAsia="Times New Roman" w:hAnsi="Arial" w:cs="Arial"/>
          <w:b/>
          <w:bCs/>
          <w:color w:val="000000"/>
          <w:sz w:val="24"/>
          <w:szCs w:val="24"/>
          <w:bdr w:val="none" w:sz="0" w:space="0" w:color="auto" w:frame="1"/>
        </w:rPr>
        <w:t>A. Employee-Employer Relationship</w:t>
      </w:r>
      <w:bookmarkEnd w:id="1"/>
    </w:p>
    <w:p w:rsidR="007C078F" w:rsidRPr="007C078F" w:rsidRDefault="007C078F" w:rsidP="007C078F">
      <w:pPr>
        <w:spacing w:after="270" w:line="240" w:lineRule="auto"/>
        <w:outlineLvl w:val="1"/>
        <w:rPr>
          <w:rFonts w:ascii="Arial" w:eastAsia="Times New Roman" w:hAnsi="Arial" w:cs="Arial"/>
          <w:b/>
          <w:bCs/>
          <w:color w:val="000000"/>
          <w:sz w:val="24"/>
          <w:szCs w:val="24"/>
        </w:rPr>
      </w:pPr>
      <w:r w:rsidRPr="007C078F">
        <w:rPr>
          <w:rFonts w:ascii="Arial" w:eastAsia="Times New Roman" w:hAnsi="Arial" w:cs="Arial"/>
          <w:b/>
          <w:bCs/>
          <w:color w:val="000000"/>
          <w:sz w:val="24"/>
          <w:szCs w:val="24"/>
        </w:rPr>
        <w:t>While contracts may be entered into for the Professional Services of consultants, contracts cannot be used to create an employee-employer relationship. Employees must be placed on the university’s payroll in appropriate classifications. Failure to do so leads to serious legal problems regarding such matters as withholding state, federal and local income taxes, workers compensation, unemployment compensation, the Commonwealth’s obligation to defend suits brought against employees, etc. Also, there are compliance issues in regards to collective bargaining agreements.</w:t>
      </w:r>
    </w:p>
    <w:p w:rsidR="007C078F" w:rsidRPr="007C078F" w:rsidRDefault="007C078F" w:rsidP="007C078F">
      <w:pPr>
        <w:spacing w:after="270" w:line="240" w:lineRule="auto"/>
        <w:outlineLvl w:val="1"/>
        <w:rPr>
          <w:rFonts w:ascii="Arial" w:eastAsia="Times New Roman" w:hAnsi="Arial" w:cs="Arial"/>
          <w:b/>
          <w:bCs/>
          <w:color w:val="000000"/>
          <w:sz w:val="24"/>
          <w:szCs w:val="24"/>
        </w:rPr>
      </w:pPr>
      <w:r w:rsidRPr="007C078F">
        <w:rPr>
          <w:rFonts w:ascii="Arial" w:eastAsia="Times New Roman" w:hAnsi="Arial" w:cs="Arial"/>
          <w:b/>
          <w:bCs/>
          <w:color w:val="000000"/>
          <w:sz w:val="24"/>
          <w:szCs w:val="24"/>
        </w:rPr>
        <w:t>Several factors are considered to determine when a contract constitutes the creation of an independent contractor relationship or an employer-employee relationship. The presence of the following factors, in one combination or another, tends to indicate an employee-employer relationship:</w:t>
      </w:r>
    </w:p>
    <w:p w:rsidR="007C078F" w:rsidRPr="007C078F" w:rsidRDefault="007C078F" w:rsidP="007C078F">
      <w:pPr>
        <w:spacing w:after="270" w:line="240" w:lineRule="auto"/>
        <w:outlineLvl w:val="1"/>
        <w:rPr>
          <w:rFonts w:ascii="Arial" w:eastAsia="Times New Roman" w:hAnsi="Arial" w:cs="Arial"/>
          <w:b/>
          <w:bCs/>
          <w:color w:val="000000"/>
          <w:sz w:val="24"/>
          <w:szCs w:val="24"/>
        </w:rPr>
      </w:pPr>
      <w:r w:rsidRPr="007C078F">
        <w:rPr>
          <w:rFonts w:ascii="Arial" w:eastAsia="Times New Roman" w:hAnsi="Arial" w:cs="Arial"/>
          <w:b/>
          <w:bCs/>
          <w:color w:val="000000"/>
          <w:sz w:val="24"/>
          <w:szCs w:val="24"/>
        </w:rPr>
        <w:lastRenderedPageBreak/>
        <w:t>1. The individual is paid on a per diem basis, rather than being paid a flat fee.</w:t>
      </w:r>
      <w:r w:rsidRPr="007C078F">
        <w:rPr>
          <w:rFonts w:ascii="Arial" w:eastAsia="Times New Roman" w:hAnsi="Arial" w:cs="Arial"/>
          <w:b/>
          <w:bCs/>
          <w:color w:val="000000"/>
          <w:sz w:val="24"/>
          <w:szCs w:val="24"/>
        </w:rPr>
        <w:br/>
        <w:t>2. Work is performed during regularly scheduled work hours.</w:t>
      </w:r>
      <w:r w:rsidRPr="007C078F">
        <w:rPr>
          <w:rFonts w:ascii="Arial" w:eastAsia="Times New Roman" w:hAnsi="Arial" w:cs="Arial"/>
          <w:b/>
          <w:bCs/>
          <w:color w:val="000000"/>
          <w:sz w:val="24"/>
          <w:szCs w:val="24"/>
        </w:rPr>
        <w:br/>
        <w:t>3. Work is performed under supervision of a university employee who controls the manner in which the work is done.</w:t>
      </w:r>
      <w:r w:rsidRPr="007C078F">
        <w:rPr>
          <w:rFonts w:ascii="Arial" w:eastAsia="Times New Roman" w:hAnsi="Arial" w:cs="Arial"/>
          <w:b/>
          <w:bCs/>
          <w:color w:val="000000"/>
          <w:sz w:val="24"/>
          <w:szCs w:val="24"/>
        </w:rPr>
        <w:br/>
        <w:t>4. The university furnishes the individual’s equipment or supplies.</w:t>
      </w:r>
      <w:r w:rsidRPr="007C078F">
        <w:rPr>
          <w:rFonts w:ascii="Arial" w:eastAsia="Times New Roman" w:hAnsi="Arial" w:cs="Arial"/>
          <w:b/>
          <w:bCs/>
          <w:color w:val="000000"/>
          <w:sz w:val="24"/>
          <w:szCs w:val="24"/>
        </w:rPr>
        <w:br/>
        <w:t>5. The individual performs duties as assigned by the university on a task-by-task basis.</w:t>
      </w:r>
      <w:r w:rsidRPr="007C078F">
        <w:rPr>
          <w:rFonts w:ascii="Arial" w:eastAsia="Times New Roman" w:hAnsi="Arial" w:cs="Arial"/>
          <w:b/>
          <w:bCs/>
          <w:color w:val="000000"/>
          <w:sz w:val="24"/>
          <w:szCs w:val="24"/>
        </w:rPr>
        <w:br/>
        <w:t>6. The individual contracts regularly throughout the fiscal year with the university to provide the same services over and over again.</w:t>
      </w:r>
      <w:r w:rsidRPr="007C078F">
        <w:rPr>
          <w:rFonts w:ascii="Arial" w:eastAsia="Times New Roman" w:hAnsi="Arial" w:cs="Arial"/>
          <w:b/>
          <w:bCs/>
          <w:color w:val="000000"/>
          <w:sz w:val="24"/>
          <w:szCs w:val="24"/>
        </w:rPr>
        <w:br/>
        <w:t>7. The duties are performed on university-owned or university-leased premises.</w:t>
      </w:r>
      <w:r w:rsidRPr="007C078F">
        <w:rPr>
          <w:rFonts w:ascii="Arial" w:eastAsia="Times New Roman" w:hAnsi="Arial" w:cs="Arial"/>
          <w:b/>
          <w:bCs/>
          <w:color w:val="000000"/>
          <w:sz w:val="24"/>
          <w:szCs w:val="24"/>
        </w:rPr>
        <w:br/>
        <w:t>8. The university has the right to discharge the person by giving advance written notice.</w:t>
      </w:r>
      <w:r w:rsidRPr="007C078F">
        <w:rPr>
          <w:rFonts w:ascii="Arial" w:eastAsia="Times New Roman" w:hAnsi="Arial" w:cs="Arial"/>
          <w:b/>
          <w:bCs/>
          <w:color w:val="000000"/>
          <w:sz w:val="24"/>
          <w:szCs w:val="24"/>
        </w:rPr>
        <w:br/>
        <w:t>9. The individual performs the same duties as one holding a position in university service.</w:t>
      </w:r>
    </w:p>
    <w:p w:rsidR="007C078F" w:rsidRPr="007C078F" w:rsidRDefault="007C078F" w:rsidP="007C078F">
      <w:pPr>
        <w:spacing w:after="270" w:line="240" w:lineRule="auto"/>
        <w:outlineLvl w:val="1"/>
        <w:rPr>
          <w:rFonts w:ascii="Arial" w:eastAsia="Times New Roman" w:hAnsi="Arial" w:cs="Arial"/>
          <w:b/>
          <w:bCs/>
          <w:color w:val="001E4A"/>
          <w:sz w:val="24"/>
          <w:szCs w:val="24"/>
        </w:rPr>
      </w:pPr>
      <w:r w:rsidRPr="007C078F">
        <w:rPr>
          <w:rFonts w:ascii="Arial" w:eastAsia="Times New Roman" w:hAnsi="Arial" w:cs="Arial"/>
          <w:b/>
          <w:bCs/>
          <w:color w:val="000000"/>
          <w:sz w:val="24"/>
          <w:szCs w:val="24"/>
        </w:rPr>
        <w:t>Each contract for services to be performed must be reviewed and a determination made as to the status of the individual to be engaged or services to be performed under a contract. These individuals under contract must be deemed independent contractors for the contract to be approved.</w:t>
      </w:r>
    </w:p>
    <w:p w:rsidR="007C078F" w:rsidRPr="007C078F" w:rsidRDefault="007C078F" w:rsidP="007C078F">
      <w:pPr>
        <w:spacing w:after="270" w:line="240" w:lineRule="auto"/>
        <w:outlineLvl w:val="1"/>
        <w:rPr>
          <w:rFonts w:ascii="Arial" w:eastAsia="Times New Roman" w:hAnsi="Arial" w:cs="Arial"/>
          <w:b/>
          <w:bCs/>
          <w:color w:val="001E4A"/>
          <w:sz w:val="24"/>
          <w:szCs w:val="24"/>
        </w:rPr>
      </w:pPr>
      <w:r w:rsidRPr="007C078F">
        <w:rPr>
          <w:rFonts w:ascii="Arial" w:eastAsia="Times New Roman" w:hAnsi="Arial" w:cs="Arial"/>
          <w:b/>
          <w:bCs/>
          <w:color w:val="001E4A"/>
          <w:sz w:val="24"/>
          <w:szCs w:val="24"/>
        </w:rPr>
        <w:t> </w:t>
      </w:r>
    </w:p>
    <w:p w:rsidR="007C078F" w:rsidRPr="007C078F" w:rsidRDefault="007C078F" w:rsidP="007C078F">
      <w:pPr>
        <w:spacing w:after="270" w:line="276" w:lineRule="atLeast"/>
        <w:outlineLvl w:val="1"/>
        <w:rPr>
          <w:rFonts w:ascii="Arial" w:eastAsia="Times New Roman" w:hAnsi="Arial" w:cs="Arial"/>
          <w:b/>
          <w:bCs/>
          <w:color w:val="000000"/>
          <w:sz w:val="24"/>
          <w:szCs w:val="24"/>
        </w:rPr>
      </w:pPr>
      <w:bookmarkStart w:id="2" w:name="#contracts"/>
      <w:r w:rsidRPr="007C078F">
        <w:rPr>
          <w:rFonts w:ascii="Arial" w:eastAsia="Times New Roman" w:hAnsi="Arial" w:cs="Arial"/>
          <w:b/>
          <w:bCs/>
          <w:color w:val="000000"/>
          <w:sz w:val="24"/>
          <w:szCs w:val="24"/>
          <w:bdr w:val="none" w:sz="0" w:space="0" w:color="auto" w:frame="1"/>
        </w:rPr>
        <w:t>B. Contracts for the Purchase of Insurance</w:t>
      </w:r>
      <w:bookmarkEnd w:id="2"/>
    </w:p>
    <w:p w:rsidR="007C078F" w:rsidRPr="007C078F" w:rsidRDefault="007C078F" w:rsidP="007C078F">
      <w:pPr>
        <w:spacing w:after="270" w:line="240" w:lineRule="auto"/>
        <w:outlineLvl w:val="1"/>
        <w:rPr>
          <w:rFonts w:ascii="Arial" w:eastAsia="Times New Roman" w:hAnsi="Arial" w:cs="Arial"/>
          <w:b/>
          <w:bCs/>
          <w:color w:val="000000"/>
          <w:sz w:val="24"/>
          <w:szCs w:val="24"/>
        </w:rPr>
      </w:pPr>
      <w:r w:rsidRPr="007C078F">
        <w:rPr>
          <w:rFonts w:ascii="Arial" w:eastAsia="Times New Roman" w:hAnsi="Arial" w:cs="Arial"/>
          <w:b/>
          <w:bCs/>
          <w:color w:val="000000"/>
          <w:sz w:val="24"/>
          <w:szCs w:val="24"/>
        </w:rPr>
        <w:t xml:space="preserve">The university itself does not have the statutory authority to purchase insurance. The Department of General Services (DGS), through the Bureau of Risk and Insurance Management (BRIM), has the authority to administer the Commonwealth Self-Insurance Program. If the contractor requests the university to purchase casualty, loss or liability insurance for the contractor’s benefit, it cannot be done. As an alternative, contractors may provide or supplement their own insurance and factor it into the cost of their bid submission for the proposed contract. However, there are limited exceptions to this provision. Collision insurance may be procured by the university when a vehicle is rented for a university purpose. It is BRIM’s position that it will not cover property damages to or resulting from the operation of a rented vehicle. BRIM advises the purchasing of insurance as a part of any car rental agreement. Furthermore, BRIM does carry specialized insurance policies that universities can purchase in unique circumstances. For example, BRIM provides insurance for fine works of art. Because the University cannot purchase insurance and the Commonwealth is </w:t>
      </w:r>
      <w:proofErr w:type="spellStart"/>
      <w:r w:rsidRPr="007C078F">
        <w:rPr>
          <w:rFonts w:ascii="Arial" w:eastAsia="Times New Roman" w:hAnsi="Arial" w:cs="Arial"/>
          <w:b/>
          <w:bCs/>
          <w:color w:val="000000"/>
          <w:sz w:val="24"/>
          <w:szCs w:val="24"/>
        </w:rPr>
        <w:t>self insured</w:t>
      </w:r>
      <w:proofErr w:type="spellEnd"/>
      <w:r w:rsidRPr="007C078F">
        <w:rPr>
          <w:rFonts w:ascii="Arial" w:eastAsia="Times New Roman" w:hAnsi="Arial" w:cs="Arial"/>
          <w:b/>
          <w:bCs/>
          <w:color w:val="000000"/>
          <w:sz w:val="24"/>
          <w:szCs w:val="24"/>
        </w:rPr>
        <w:t>, it cannot provide a traditional “certificate of insurance” which is available to non-</w:t>
      </w:r>
      <w:proofErr w:type="spellStart"/>
      <w:r w:rsidRPr="007C078F">
        <w:rPr>
          <w:rFonts w:ascii="Arial" w:eastAsia="Times New Roman" w:hAnsi="Arial" w:cs="Arial"/>
          <w:b/>
          <w:bCs/>
          <w:color w:val="000000"/>
          <w:sz w:val="24"/>
          <w:szCs w:val="24"/>
        </w:rPr>
        <w:t>self insured</w:t>
      </w:r>
      <w:proofErr w:type="spellEnd"/>
      <w:r w:rsidRPr="007C078F">
        <w:rPr>
          <w:rFonts w:ascii="Arial" w:eastAsia="Times New Roman" w:hAnsi="Arial" w:cs="Arial"/>
          <w:b/>
          <w:bCs/>
          <w:color w:val="000000"/>
          <w:sz w:val="24"/>
          <w:szCs w:val="24"/>
        </w:rPr>
        <w:t xml:space="preserve"> entities. In the event that a request for proof of insurance is requested by a contracting party, a response letter may be a sufficient explanation of the University’s status.</w:t>
      </w:r>
    </w:p>
    <w:p w:rsidR="007C078F" w:rsidRPr="007C078F" w:rsidRDefault="007C078F" w:rsidP="007C078F">
      <w:pPr>
        <w:spacing w:after="270" w:line="240" w:lineRule="auto"/>
        <w:outlineLvl w:val="1"/>
        <w:rPr>
          <w:rFonts w:ascii="Arial" w:eastAsia="Times New Roman" w:hAnsi="Arial" w:cs="Arial"/>
          <w:b/>
          <w:bCs/>
          <w:color w:val="001E4A"/>
          <w:sz w:val="24"/>
          <w:szCs w:val="24"/>
        </w:rPr>
      </w:pPr>
      <w:r w:rsidRPr="007C078F">
        <w:rPr>
          <w:rFonts w:ascii="Arial" w:eastAsia="Times New Roman" w:hAnsi="Arial" w:cs="Arial"/>
          <w:b/>
          <w:bCs/>
          <w:color w:val="001E4A"/>
          <w:sz w:val="24"/>
          <w:szCs w:val="24"/>
        </w:rPr>
        <w:t> </w:t>
      </w:r>
    </w:p>
    <w:p w:rsidR="007C078F" w:rsidRPr="007C078F" w:rsidRDefault="007C078F" w:rsidP="007C078F">
      <w:pPr>
        <w:spacing w:after="270" w:line="276" w:lineRule="atLeast"/>
        <w:outlineLvl w:val="1"/>
        <w:rPr>
          <w:rFonts w:ascii="Arial" w:eastAsia="Times New Roman" w:hAnsi="Arial" w:cs="Arial"/>
          <w:b/>
          <w:bCs/>
          <w:color w:val="000000"/>
          <w:sz w:val="24"/>
          <w:szCs w:val="24"/>
        </w:rPr>
      </w:pPr>
      <w:bookmarkStart w:id="3" w:name="#attorney"/>
      <w:r w:rsidRPr="007C078F">
        <w:rPr>
          <w:rFonts w:ascii="Arial" w:eastAsia="Times New Roman" w:hAnsi="Arial" w:cs="Arial"/>
          <w:b/>
          <w:bCs/>
          <w:color w:val="000000"/>
          <w:sz w:val="24"/>
          <w:szCs w:val="24"/>
          <w:bdr w:val="none" w:sz="0" w:space="0" w:color="auto" w:frame="1"/>
        </w:rPr>
        <w:t>C. Attorney Services</w:t>
      </w:r>
      <w:bookmarkEnd w:id="3"/>
    </w:p>
    <w:p w:rsidR="007C078F" w:rsidRPr="007C078F" w:rsidRDefault="007C078F" w:rsidP="007C078F">
      <w:pPr>
        <w:spacing w:after="270" w:line="240" w:lineRule="auto"/>
        <w:outlineLvl w:val="1"/>
        <w:rPr>
          <w:rFonts w:ascii="Arial" w:eastAsia="Times New Roman" w:hAnsi="Arial" w:cs="Arial"/>
          <w:b/>
          <w:bCs/>
          <w:color w:val="000000"/>
          <w:sz w:val="24"/>
          <w:szCs w:val="24"/>
        </w:rPr>
      </w:pPr>
      <w:r w:rsidRPr="007C078F">
        <w:rPr>
          <w:rFonts w:ascii="Arial" w:eastAsia="Times New Roman" w:hAnsi="Arial" w:cs="Arial"/>
          <w:b/>
          <w:bCs/>
          <w:color w:val="000000"/>
          <w:sz w:val="24"/>
          <w:szCs w:val="24"/>
        </w:rPr>
        <w:lastRenderedPageBreak/>
        <w:t>Contracts with attorneys for legal services require approval from the OGC through the Office of Chief Counsel for the State System and cannot be entered into at the university level. No agency can independently retain an attorney for any legal issue, nor a non-attorney who engages in work substantially similar to that of work engaged in by legal counsel (i.e., legal action for the collection of debts, representation at real estate closings, litigation and legal advice of any kind). Any questions as to this issue should be immediately directed to university legal counsel.</w:t>
      </w:r>
    </w:p>
    <w:p w:rsidR="007C078F" w:rsidRPr="007C078F" w:rsidRDefault="007C078F" w:rsidP="007C078F">
      <w:pPr>
        <w:spacing w:after="270" w:line="240" w:lineRule="auto"/>
        <w:outlineLvl w:val="1"/>
        <w:rPr>
          <w:rFonts w:ascii="Arial" w:eastAsia="Times New Roman" w:hAnsi="Arial" w:cs="Arial"/>
          <w:b/>
          <w:bCs/>
          <w:color w:val="001E4A"/>
          <w:sz w:val="24"/>
          <w:szCs w:val="24"/>
        </w:rPr>
      </w:pPr>
      <w:r w:rsidRPr="007C078F">
        <w:rPr>
          <w:rFonts w:ascii="Arial" w:eastAsia="Times New Roman" w:hAnsi="Arial" w:cs="Arial"/>
          <w:b/>
          <w:bCs/>
          <w:color w:val="001E4A"/>
          <w:sz w:val="24"/>
          <w:szCs w:val="24"/>
        </w:rPr>
        <w:t> </w:t>
      </w:r>
    </w:p>
    <w:p w:rsidR="007C078F" w:rsidRPr="007C078F" w:rsidRDefault="007C078F" w:rsidP="007C078F">
      <w:pPr>
        <w:spacing w:after="270" w:line="276" w:lineRule="atLeast"/>
        <w:outlineLvl w:val="1"/>
        <w:rPr>
          <w:rFonts w:ascii="Arial" w:eastAsia="Times New Roman" w:hAnsi="Arial" w:cs="Arial"/>
          <w:b/>
          <w:bCs/>
          <w:color w:val="000000"/>
          <w:sz w:val="24"/>
          <w:szCs w:val="24"/>
        </w:rPr>
      </w:pPr>
      <w:bookmarkStart w:id="4" w:name="#reciprocal"/>
      <w:r w:rsidRPr="007C078F">
        <w:rPr>
          <w:rFonts w:ascii="Arial" w:eastAsia="Times New Roman" w:hAnsi="Arial" w:cs="Arial"/>
          <w:b/>
          <w:bCs/>
          <w:color w:val="000000"/>
          <w:sz w:val="24"/>
          <w:szCs w:val="24"/>
          <w:bdr w:val="none" w:sz="0" w:space="0" w:color="auto" w:frame="1"/>
        </w:rPr>
        <w:t>D. Reciprocal Limitations Act</w:t>
      </w:r>
      <w:bookmarkEnd w:id="4"/>
    </w:p>
    <w:p w:rsidR="007C078F" w:rsidRPr="007C078F" w:rsidRDefault="007C078F" w:rsidP="007C078F">
      <w:pPr>
        <w:spacing w:after="270" w:line="240" w:lineRule="auto"/>
        <w:outlineLvl w:val="1"/>
        <w:rPr>
          <w:rFonts w:ascii="Arial" w:eastAsia="Times New Roman" w:hAnsi="Arial" w:cs="Arial"/>
          <w:b/>
          <w:bCs/>
          <w:color w:val="001E4A"/>
          <w:sz w:val="24"/>
          <w:szCs w:val="24"/>
        </w:rPr>
      </w:pPr>
      <w:r w:rsidRPr="007C078F">
        <w:rPr>
          <w:rFonts w:ascii="Arial" w:eastAsia="Times New Roman" w:hAnsi="Arial" w:cs="Arial"/>
          <w:b/>
          <w:bCs/>
          <w:color w:val="000000"/>
          <w:sz w:val="24"/>
          <w:szCs w:val="24"/>
        </w:rPr>
        <w:t xml:space="preserve">In the event that the lowest responsive bidder is an out-of-state vendor and the contract in question is in excess of $10,000.00 for construction or supplies, the university should consult the </w:t>
      </w:r>
      <w:proofErr w:type="spellStart"/>
      <w:r w:rsidRPr="007C078F">
        <w:rPr>
          <w:rFonts w:ascii="Arial" w:eastAsia="Times New Roman" w:hAnsi="Arial" w:cs="Arial"/>
          <w:b/>
          <w:bCs/>
          <w:color w:val="000000"/>
          <w:sz w:val="24"/>
          <w:szCs w:val="24"/>
        </w:rPr>
        <w:t>Reciprical</w:t>
      </w:r>
      <w:proofErr w:type="spellEnd"/>
      <w:r w:rsidRPr="007C078F">
        <w:rPr>
          <w:rFonts w:ascii="Arial" w:eastAsia="Times New Roman" w:hAnsi="Arial" w:cs="Arial"/>
          <w:b/>
          <w:bCs/>
          <w:color w:val="000000"/>
          <w:sz w:val="24"/>
          <w:szCs w:val="24"/>
        </w:rPr>
        <w:t xml:space="preserve"> Limitations Act. This practice is necessitated when the vendor’s resident state limits procurement opportunities for businesses located within the Commonwealth. </w:t>
      </w:r>
    </w:p>
    <w:p w:rsidR="007C078F" w:rsidRPr="007C078F" w:rsidRDefault="007C078F" w:rsidP="007C078F">
      <w:pPr>
        <w:spacing w:after="270" w:line="240" w:lineRule="auto"/>
        <w:outlineLvl w:val="1"/>
        <w:rPr>
          <w:rFonts w:ascii="Arial" w:eastAsia="Times New Roman" w:hAnsi="Arial" w:cs="Arial"/>
          <w:b/>
          <w:bCs/>
          <w:color w:val="000000"/>
          <w:sz w:val="24"/>
          <w:szCs w:val="24"/>
        </w:rPr>
      </w:pPr>
      <w:r w:rsidRPr="007C078F">
        <w:rPr>
          <w:rFonts w:ascii="Arial" w:eastAsia="Times New Roman" w:hAnsi="Arial" w:cs="Arial"/>
          <w:b/>
          <w:bCs/>
          <w:color w:val="000000"/>
          <w:sz w:val="24"/>
          <w:szCs w:val="24"/>
        </w:rPr>
        <w:t>Prior to awarding a contract or rejecting a bid which involves an out-of-state entity, the university should consult with university legal counsel.</w:t>
      </w:r>
    </w:p>
    <w:p w:rsidR="007C078F" w:rsidRPr="007C078F" w:rsidRDefault="007C078F" w:rsidP="007C078F">
      <w:pPr>
        <w:spacing w:after="300" w:line="240" w:lineRule="auto"/>
        <w:rPr>
          <w:rFonts w:ascii="Trebuchet MS" w:eastAsia="Times New Roman" w:hAnsi="Trebuchet MS" w:cs="Times New Roman"/>
          <w:color w:val="333333"/>
          <w:sz w:val="20"/>
          <w:szCs w:val="20"/>
        </w:rPr>
      </w:pPr>
      <w:r w:rsidRPr="007C078F">
        <w:rPr>
          <w:rFonts w:ascii="Trebuchet MS" w:eastAsia="Times New Roman" w:hAnsi="Trebuchet MS" w:cs="Times New Roman"/>
          <w:color w:val="333333"/>
          <w:sz w:val="20"/>
          <w:szCs w:val="20"/>
        </w:rPr>
        <w:t> </w:t>
      </w:r>
    </w:p>
    <w:p w:rsidR="007C078F" w:rsidRPr="007C078F" w:rsidRDefault="007C078F" w:rsidP="007C078F">
      <w:pPr>
        <w:spacing w:after="270" w:line="276" w:lineRule="atLeast"/>
        <w:outlineLvl w:val="1"/>
        <w:rPr>
          <w:rFonts w:ascii="Arial" w:eastAsia="Times New Roman" w:hAnsi="Arial" w:cs="Arial"/>
          <w:b/>
          <w:bCs/>
          <w:color w:val="000000"/>
          <w:sz w:val="24"/>
          <w:szCs w:val="24"/>
        </w:rPr>
      </w:pPr>
      <w:bookmarkStart w:id="5" w:name="#after-fact"/>
      <w:r w:rsidRPr="007C078F">
        <w:rPr>
          <w:rFonts w:ascii="Arial" w:eastAsia="Times New Roman" w:hAnsi="Arial" w:cs="Arial"/>
          <w:b/>
          <w:bCs/>
          <w:color w:val="000000"/>
          <w:sz w:val="24"/>
          <w:szCs w:val="24"/>
          <w:bdr w:val="none" w:sz="0" w:space="0" w:color="auto" w:frame="1"/>
        </w:rPr>
        <w:t>E. After-the-Fact Contracts</w:t>
      </w:r>
      <w:bookmarkEnd w:id="5"/>
    </w:p>
    <w:p w:rsidR="007C078F" w:rsidRPr="007C078F" w:rsidRDefault="007C078F" w:rsidP="007C078F">
      <w:pPr>
        <w:spacing w:after="270" w:line="240" w:lineRule="auto"/>
        <w:outlineLvl w:val="1"/>
        <w:rPr>
          <w:rFonts w:ascii="Arial" w:eastAsia="Times New Roman" w:hAnsi="Arial" w:cs="Arial"/>
          <w:b/>
          <w:bCs/>
          <w:color w:val="000000"/>
          <w:sz w:val="24"/>
          <w:szCs w:val="24"/>
        </w:rPr>
      </w:pPr>
      <w:r w:rsidRPr="007C078F">
        <w:rPr>
          <w:rFonts w:ascii="Arial" w:eastAsia="Times New Roman" w:hAnsi="Arial" w:cs="Arial"/>
          <w:b/>
          <w:bCs/>
          <w:color w:val="000000"/>
          <w:sz w:val="24"/>
          <w:szCs w:val="24"/>
        </w:rPr>
        <w:t>After-the-fact contracts occur when a university attempts to process a contract in a nonemergency situation after goods and services have been delivered and then, an attempt is made to initiate a purchase order/contract or use and after-the-fact order to pay the supplier invoice. This is impermissible.</w:t>
      </w:r>
    </w:p>
    <w:p w:rsidR="007C078F" w:rsidRPr="007C078F" w:rsidRDefault="007C078F" w:rsidP="007C078F">
      <w:pPr>
        <w:spacing w:after="270" w:line="240" w:lineRule="auto"/>
        <w:outlineLvl w:val="1"/>
        <w:rPr>
          <w:rFonts w:ascii="Arial" w:eastAsia="Times New Roman" w:hAnsi="Arial" w:cs="Arial"/>
          <w:b/>
          <w:bCs/>
          <w:color w:val="000000"/>
          <w:sz w:val="24"/>
          <w:szCs w:val="24"/>
        </w:rPr>
      </w:pPr>
      <w:r w:rsidRPr="007C078F">
        <w:rPr>
          <w:rFonts w:ascii="Arial" w:eastAsia="Times New Roman" w:hAnsi="Arial" w:cs="Arial"/>
          <w:b/>
          <w:bCs/>
          <w:color w:val="000000"/>
          <w:sz w:val="24"/>
          <w:szCs w:val="24"/>
        </w:rPr>
        <w:t>After-the-Fact purchase transactions create significant payment and supplier relationship problems for Cheyney University. In many cases, these transactions:</w:t>
      </w:r>
    </w:p>
    <w:p w:rsidR="007C078F" w:rsidRPr="007C078F" w:rsidRDefault="007C078F" w:rsidP="007C078F">
      <w:pPr>
        <w:spacing w:after="270" w:line="240" w:lineRule="auto"/>
        <w:outlineLvl w:val="1"/>
        <w:rPr>
          <w:rFonts w:ascii="Arial" w:eastAsia="Times New Roman" w:hAnsi="Arial" w:cs="Arial"/>
          <w:b/>
          <w:bCs/>
          <w:color w:val="000000"/>
          <w:sz w:val="24"/>
          <w:szCs w:val="24"/>
        </w:rPr>
      </w:pPr>
      <w:proofErr w:type="gramStart"/>
      <w:r w:rsidRPr="007C078F">
        <w:rPr>
          <w:rFonts w:ascii="Courier New" w:eastAsia="Times New Roman" w:hAnsi="Courier New" w:cs="Courier New"/>
          <w:b/>
          <w:bCs/>
          <w:color w:val="000000"/>
          <w:sz w:val="20"/>
          <w:szCs w:val="20"/>
        </w:rPr>
        <w:t>o</w:t>
      </w:r>
      <w:proofErr w:type="gramEnd"/>
      <w:r w:rsidRPr="007C078F">
        <w:rPr>
          <w:rFonts w:ascii="Times New Roman" w:eastAsia="Times New Roman" w:hAnsi="Times New Roman" w:cs="Times New Roman"/>
          <w:b/>
          <w:bCs/>
          <w:color w:val="000000"/>
          <w:sz w:val="14"/>
          <w:szCs w:val="14"/>
        </w:rPr>
        <w:t>    </w:t>
      </w:r>
      <w:r w:rsidRPr="007C078F">
        <w:rPr>
          <w:rFonts w:ascii="Arial" w:eastAsia="Times New Roman" w:hAnsi="Arial" w:cs="Arial"/>
          <w:b/>
          <w:bCs/>
          <w:color w:val="000000"/>
          <w:sz w:val="24"/>
          <w:szCs w:val="24"/>
        </w:rPr>
        <w:t>Place Cheyney  University at financial risk and result in higher than necessary costs paid for products and services</w:t>
      </w:r>
    </w:p>
    <w:p w:rsidR="007C078F" w:rsidRPr="007C078F" w:rsidRDefault="007C078F" w:rsidP="007C078F">
      <w:pPr>
        <w:spacing w:after="270" w:line="240" w:lineRule="auto"/>
        <w:outlineLvl w:val="1"/>
        <w:rPr>
          <w:rFonts w:ascii="Arial" w:eastAsia="Times New Roman" w:hAnsi="Arial" w:cs="Arial"/>
          <w:b/>
          <w:bCs/>
          <w:color w:val="000000"/>
          <w:sz w:val="24"/>
          <w:szCs w:val="24"/>
        </w:rPr>
      </w:pPr>
      <w:proofErr w:type="gramStart"/>
      <w:r w:rsidRPr="007C078F">
        <w:rPr>
          <w:rFonts w:ascii="Courier New" w:eastAsia="Times New Roman" w:hAnsi="Courier New" w:cs="Courier New"/>
          <w:b/>
          <w:bCs/>
          <w:color w:val="000000"/>
          <w:sz w:val="20"/>
          <w:szCs w:val="20"/>
        </w:rPr>
        <w:t>o</w:t>
      </w:r>
      <w:proofErr w:type="gramEnd"/>
      <w:r w:rsidRPr="007C078F">
        <w:rPr>
          <w:rFonts w:ascii="Times New Roman" w:eastAsia="Times New Roman" w:hAnsi="Times New Roman" w:cs="Times New Roman"/>
          <w:b/>
          <w:bCs/>
          <w:color w:val="000000"/>
          <w:sz w:val="14"/>
          <w:szCs w:val="14"/>
        </w:rPr>
        <w:t>    </w:t>
      </w:r>
      <w:r w:rsidRPr="007C078F">
        <w:rPr>
          <w:rFonts w:ascii="Arial" w:eastAsia="Times New Roman" w:hAnsi="Arial" w:cs="Arial"/>
          <w:b/>
          <w:bCs/>
          <w:color w:val="000000"/>
          <w:sz w:val="24"/>
          <w:szCs w:val="24"/>
        </w:rPr>
        <w:t>Create unnecessary administrative effort within the procurement department and other administrative offices</w:t>
      </w:r>
    </w:p>
    <w:p w:rsidR="007C078F" w:rsidRPr="007C078F" w:rsidRDefault="007C078F" w:rsidP="007C078F">
      <w:pPr>
        <w:spacing w:after="270" w:line="240" w:lineRule="auto"/>
        <w:outlineLvl w:val="1"/>
        <w:rPr>
          <w:rFonts w:ascii="Arial" w:eastAsia="Times New Roman" w:hAnsi="Arial" w:cs="Arial"/>
          <w:b/>
          <w:bCs/>
          <w:color w:val="000000"/>
          <w:sz w:val="24"/>
          <w:szCs w:val="24"/>
        </w:rPr>
      </w:pPr>
      <w:proofErr w:type="gramStart"/>
      <w:r w:rsidRPr="007C078F">
        <w:rPr>
          <w:rFonts w:ascii="Courier New" w:eastAsia="Times New Roman" w:hAnsi="Courier New" w:cs="Courier New"/>
          <w:b/>
          <w:bCs/>
          <w:color w:val="000000"/>
          <w:sz w:val="20"/>
          <w:szCs w:val="20"/>
        </w:rPr>
        <w:t>o</w:t>
      </w:r>
      <w:proofErr w:type="gramEnd"/>
      <w:r w:rsidRPr="007C078F">
        <w:rPr>
          <w:rFonts w:ascii="Times New Roman" w:eastAsia="Times New Roman" w:hAnsi="Times New Roman" w:cs="Times New Roman"/>
          <w:b/>
          <w:bCs/>
          <w:color w:val="000000"/>
          <w:sz w:val="14"/>
          <w:szCs w:val="14"/>
        </w:rPr>
        <w:t>    </w:t>
      </w:r>
      <w:r w:rsidRPr="007C078F">
        <w:rPr>
          <w:rFonts w:ascii="Arial" w:eastAsia="Times New Roman" w:hAnsi="Arial" w:cs="Arial"/>
          <w:b/>
          <w:bCs/>
          <w:color w:val="000000"/>
          <w:sz w:val="24"/>
          <w:szCs w:val="24"/>
        </w:rPr>
        <w:t>Violate purchasing policies</w:t>
      </w:r>
    </w:p>
    <w:p w:rsidR="007C078F" w:rsidRPr="007C078F" w:rsidRDefault="007C078F" w:rsidP="007C078F">
      <w:pPr>
        <w:spacing w:after="270" w:line="240" w:lineRule="auto"/>
        <w:outlineLvl w:val="1"/>
        <w:rPr>
          <w:rFonts w:ascii="Arial" w:eastAsia="Times New Roman" w:hAnsi="Arial" w:cs="Arial"/>
          <w:b/>
          <w:bCs/>
          <w:color w:val="000000"/>
          <w:sz w:val="24"/>
          <w:szCs w:val="24"/>
        </w:rPr>
      </w:pPr>
      <w:proofErr w:type="gramStart"/>
      <w:r w:rsidRPr="007C078F">
        <w:rPr>
          <w:rFonts w:ascii="Courier New" w:eastAsia="Times New Roman" w:hAnsi="Courier New" w:cs="Courier New"/>
          <w:b/>
          <w:bCs/>
          <w:color w:val="000000"/>
          <w:sz w:val="20"/>
          <w:szCs w:val="20"/>
        </w:rPr>
        <w:t>o</w:t>
      </w:r>
      <w:proofErr w:type="gramEnd"/>
      <w:r w:rsidRPr="007C078F">
        <w:rPr>
          <w:rFonts w:ascii="Times New Roman" w:eastAsia="Times New Roman" w:hAnsi="Times New Roman" w:cs="Times New Roman"/>
          <w:b/>
          <w:bCs/>
          <w:color w:val="000000"/>
          <w:sz w:val="14"/>
          <w:szCs w:val="14"/>
        </w:rPr>
        <w:t>    </w:t>
      </w:r>
      <w:r w:rsidRPr="007C078F">
        <w:rPr>
          <w:rFonts w:ascii="Arial" w:eastAsia="Times New Roman" w:hAnsi="Arial" w:cs="Arial"/>
          <w:b/>
          <w:bCs/>
          <w:color w:val="000000"/>
          <w:sz w:val="24"/>
          <w:szCs w:val="24"/>
        </w:rPr>
        <w:t>Lack of competitive bids for transactions where required based on the current formal competitive threshold.</w:t>
      </w:r>
    </w:p>
    <w:p w:rsidR="007C078F" w:rsidRPr="007C078F" w:rsidRDefault="007C078F" w:rsidP="007C078F">
      <w:pPr>
        <w:spacing w:after="270" w:line="240" w:lineRule="auto"/>
        <w:outlineLvl w:val="1"/>
        <w:rPr>
          <w:rFonts w:ascii="Arial" w:eastAsia="Times New Roman" w:hAnsi="Arial" w:cs="Arial"/>
          <w:b/>
          <w:bCs/>
          <w:color w:val="000000"/>
          <w:sz w:val="24"/>
          <w:szCs w:val="24"/>
        </w:rPr>
      </w:pPr>
      <w:proofErr w:type="gramStart"/>
      <w:r w:rsidRPr="007C078F">
        <w:rPr>
          <w:rFonts w:ascii="Courier New" w:eastAsia="Times New Roman" w:hAnsi="Courier New" w:cs="Courier New"/>
          <w:b/>
          <w:bCs/>
          <w:color w:val="000000"/>
          <w:sz w:val="20"/>
          <w:szCs w:val="20"/>
        </w:rPr>
        <w:t>o</w:t>
      </w:r>
      <w:proofErr w:type="gramEnd"/>
      <w:r w:rsidRPr="007C078F">
        <w:rPr>
          <w:rFonts w:ascii="Times New Roman" w:eastAsia="Times New Roman" w:hAnsi="Times New Roman" w:cs="Times New Roman"/>
          <w:b/>
          <w:bCs/>
          <w:color w:val="000000"/>
          <w:sz w:val="14"/>
          <w:szCs w:val="14"/>
        </w:rPr>
        <w:t>    </w:t>
      </w:r>
      <w:r w:rsidRPr="007C078F">
        <w:rPr>
          <w:rFonts w:ascii="Arial" w:eastAsia="Times New Roman" w:hAnsi="Arial" w:cs="Arial"/>
          <w:b/>
          <w:bCs/>
          <w:color w:val="000000"/>
          <w:sz w:val="24"/>
          <w:szCs w:val="24"/>
        </w:rPr>
        <w:t>Result in supplier contracts with unfavorable terms and conditions signed by unauthorized Cheyney University personnel</w:t>
      </w:r>
    </w:p>
    <w:p w:rsidR="007C078F" w:rsidRPr="007C078F" w:rsidRDefault="007C078F" w:rsidP="007C078F">
      <w:pPr>
        <w:spacing w:after="270" w:line="240" w:lineRule="auto"/>
        <w:outlineLvl w:val="1"/>
        <w:rPr>
          <w:rFonts w:ascii="Arial" w:eastAsia="Times New Roman" w:hAnsi="Arial" w:cs="Arial"/>
          <w:b/>
          <w:bCs/>
          <w:color w:val="000000"/>
          <w:sz w:val="24"/>
          <w:szCs w:val="24"/>
        </w:rPr>
      </w:pPr>
      <w:proofErr w:type="gramStart"/>
      <w:r w:rsidRPr="007C078F">
        <w:rPr>
          <w:rFonts w:ascii="Courier New" w:eastAsia="Times New Roman" w:hAnsi="Courier New" w:cs="Courier New"/>
          <w:b/>
          <w:bCs/>
          <w:color w:val="000000"/>
          <w:sz w:val="20"/>
          <w:szCs w:val="20"/>
        </w:rPr>
        <w:lastRenderedPageBreak/>
        <w:t>o</w:t>
      </w:r>
      <w:proofErr w:type="gramEnd"/>
      <w:r w:rsidRPr="007C078F">
        <w:rPr>
          <w:rFonts w:ascii="Times New Roman" w:eastAsia="Times New Roman" w:hAnsi="Times New Roman" w:cs="Times New Roman"/>
          <w:b/>
          <w:bCs/>
          <w:color w:val="000000"/>
          <w:sz w:val="14"/>
          <w:szCs w:val="14"/>
        </w:rPr>
        <w:t>    </w:t>
      </w:r>
      <w:r w:rsidRPr="007C078F">
        <w:rPr>
          <w:rFonts w:ascii="Arial" w:eastAsia="Times New Roman" w:hAnsi="Arial" w:cs="Arial"/>
          <w:b/>
          <w:bCs/>
          <w:color w:val="000000"/>
          <w:sz w:val="24"/>
          <w:szCs w:val="24"/>
        </w:rPr>
        <w:t>Could result in duplicate payments to the supplier</w:t>
      </w:r>
    </w:p>
    <w:p w:rsidR="007C078F" w:rsidRPr="007C078F" w:rsidRDefault="007C078F" w:rsidP="007C078F">
      <w:pPr>
        <w:spacing w:after="270" w:line="240" w:lineRule="auto"/>
        <w:outlineLvl w:val="1"/>
        <w:rPr>
          <w:rFonts w:ascii="Arial" w:eastAsia="Times New Roman" w:hAnsi="Arial" w:cs="Arial"/>
          <w:b/>
          <w:bCs/>
          <w:color w:val="000000"/>
          <w:sz w:val="24"/>
          <w:szCs w:val="24"/>
        </w:rPr>
      </w:pPr>
      <w:r w:rsidRPr="007C078F">
        <w:rPr>
          <w:rFonts w:ascii="Arial" w:eastAsia="Times New Roman" w:hAnsi="Arial" w:cs="Arial"/>
          <w:b/>
          <w:bCs/>
          <w:color w:val="000000"/>
          <w:sz w:val="24"/>
          <w:szCs w:val="24"/>
        </w:rPr>
        <w:t>University legal counsel, OAG and OGC will not sign any after the fact contracts or contracts where services have commenced but are not yet completed. In such circumstances, Commonwealth monies can only be disbursed via a settlement agreement that requires the approval of the Chief Counsel and OAG or by having the contractor file an action with the Pennsylvania Board of Claims.</w:t>
      </w:r>
    </w:p>
    <w:p w:rsidR="007C078F" w:rsidRPr="007C078F" w:rsidRDefault="007C078F" w:rsidP="007C078F">
      <w:pPr>
        <w:spacing w:after="270" w:line="240" w:lineRule="auto"/>
        <w:outlineLvl w:val="1"/>
        <w:rPr>
          <w:rFonts w:ascii="Arial" w:eastAsia="Times New Roman" w:hAnsi="Arial" w:cs="Arial"/>
          <w:b/>
          <w:bCs/>
          <w:color w:val="001E4A"/>
          <w:sz w:val="24"/>
          <w:szCs w:val="24"/>
        </w:rPr>
      </w:pPr>
      <w:r w:rsidRPr="007C078F">
        <w:rPr>
          <w:rFonts w:ascii="Arial" w:eastAsia="Times New Roman" w:hAnsi="Arial" w:cs="Arial"/>
          <w:b/>
          <w:bCs/>
          <w:color w:val="001E4A"/>
          <w:sz w:val="24"/>
          <w:szCs w:val="24"/>
        </w:rPr>
        <w:t> </w:t>
      </w:r>
    </w:p>
    <w:p w:rsidR="009464BD" w:rsidRDefault="009464BD"/>
    <w:sectPr w:rsidR="0094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8F"/>
    <w:rsid w:val="007C078F"/>
    <w:rsid w:val="009464BD"/>
    <w:rsid w:val="00B8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2775F-75E8-45FB-B68C-F4436B2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8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yney.edu/business-support/contrac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eyney.edu/business-support/employee-employ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she.edu/partners/Documents/71_K_180_SAP.pdf" TargetMode="External"/><Relationship Id="rId11" Type="http://schemas.openxmlformats.org/officeDocument/2006/relationships/hyperlink" Target="http://www.cheyney.edu/business-support/after-fact" TargetMode="External"/><Relationship Id="rId5" Type="http://schemas.openxmlformats.org/officeDocument/2006/relationships/hyperlink" Target="http://www.cheyney.edu/business-support/documents/std274tc.pdf" TargetMode="External"/><Relationship Id="rId10" Type="http://schemas.openxmlformats.org/officeDocument/2006/relationships/hyperlink" Target="http://www.cheyney.edu/business-support/reciprocal" TargetMode="External"/><Relationship Id="rId4" Type="http://schemas.openxmlformats.org/officeDocument/2006/relationships/hyperlink" Target="http://www.passhe.edu/inside/legal/Documents/bb.htm" TargetMode="External"/><Relationship Id="rId9" Type="http://schemas.openxmlformats.org/officeDocument/2006/relationships/hyperlink" Target="http://www.cheyney.edu/business-support/atto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Moultrie</dc:creator>
  <cp:keywords/>
  <dc:description/>
  <cp:lastModifiedBy>Cynthia Moultrie</cp:lastModifiedBy>
  <cp:revision>1</cp:revision>
  <dcterms:created xsi:type="dcterms:W3CDTF">2018-07-30T18:27:00Z</dcterms:created>
  <dcterms:modified xsi:type="dcterms:W3CDTF">2018-07-30T18:32:00Z</dcterms:modified>
</cp:coreProperties>
</file>