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AF6B13" w:rsidP="00484AF7">
            <w:pPr>
              <w:jc w:val="both"/>
              <w:rPr>
                <w:rFonts w:ascii="Arial" w:hAnsi="Arial" w:cs="Arial"/>
                <w:szCs w:val="28"/>
              </w:rPr>
            </w:pPr>
            <w:r>
              <w:rPr>
                <w:rFonts w:ascii="Arial" w:hAnsi="Arial" w:cs="Arial"/>
                <w:szCs w:val="28"/>
              </w:rPr>
              <w:t>AA 2010-1027</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AF6B13" w:rsidP="00484AF7">
            <w:pPr>
              <w:jc w:val="both"/>
              <w:rPr>
                <w:rFonts w:ascii="Arial" w:hAnsi="Arial" w:cs="Arial"/>
                <w:szCs w:val="28"/>
              </w:rPr>
            </w:pPr>
            <w:r>
              <w:rPr>
                <w:rFonts w:ascii="Arial" w:hAnsi="Arial" w:cs="Arial"/>
                <w:szCs w:val="28"/>
              </w:rPr>
              <w:t>Grade Appeal</w:t>
            </w:r>
            <w:r w:rsidR="00B130D5">
              <w:rPr>
                <w:rFonts w:ascii="Arial" w:hAnsi="Arial" w:cs="Arial"/>
                <w:szCs w:val="28"/>
              </w:rPr>
              <w:t xml:space="preserve"> </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484AF7">
            <w:pPr>
              <w:jc w:val="both"/>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B130D5" w:rsidP="00484AF7">
            <w:pPr>
              <w:jc w:val="both"/>
              <w:rPr>
                <w:rFonts w:ascii="Arial" w:hAnsi="Arial" w:cs="Arial"/>
                <w:szCs w:val="28"/>
              </w:rPr>
            </w:pPr>
            <w:r>
              <w:rPr>
                <w:rFonts w:ascii="Arial" w:hAnsi="Arial" w:cs="Arial"/>
                <w:szCs w:val="28"/>
              </w:rPr>
              <w:t xml:space="preserve">Revised 2-17-2009; </w:t>
            </w:r>
            <w:r w:rsidR="00124038" w:rsidRPr="008F4CED">
              <w:rPr>
                <w:rFonts w:ascii="Arial" w:hAnsi="Arial" w:cs="Arial"/>
                <w:szCs w:val="28"/>
              </w:rPr>
              <w:t xml:space="preserve">Revised </w:t>
            </w:r>
            <w:r w:rsidR="00AF6B13">
              <w:rPr>
                <w:rFonts w:ascii="Arial" w:hAnsi="Arial" w:cs="Arial"/>
                <w:szCs w:val="28"/>
              </w:rPr>
              <w:t>10-8</w:t>
            </w:r>
            <w:r w:rsidR="00E14216">
              <w:rPr>
                <w:rFonts w:ascii="Arial" w:hAnsi="Arial" w:cs="Arial"/>
                <w:szCs w:val="28"/>
              </w:rPr>
              <w:t>-2018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484AF7">
            <w:pPr>
              <w:jc w:val="both"/>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484AF7">
            <w:pPr>
              <w:jc w:val="both"/>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bookmarkStart w:id="0" w:name="_GoBack"/>
            <w:bookmarkEnd w:id="0"/>
          </w:p>
        </w:tc>
        <w:tc>
          <w:tcPr>
            <w:tcW w:w="5755" w:type="dxa"/>
          </w:tcPr>
          <w:p w:rsidR="00FD176E" w:rsidRPr="00AF6B13" w:rsidRDefault="00AF6B13" w:rsidP="00484AF7">
            <w:pPr>
              <w:jc w:val="both"/>
              <w:rPr>
                <w:rFonts w:ascii="Arial" w:hAnsi="Arial" w:cs="Arial"/>
                <w:szCs w:val="28"/>
              </w:rPr>
            </w:pPr>
            <w:r w:rsidRPr="00AF6B13">
              <w:rPr>
                <w:rStyle w:val="normaltextrun"/>
                <w:rFonts w:ascii="Arial" w:hAnsi="Arial" w:cs="Arial"/>
                <w:color w:val="000000"/>
                <w:szCs w:val="22"/>
                <w:bdr w:val="none" w:sz="0" w:space="0" w:color="auto" w:frame="1"/>
              </w:rPr>
              <w:t>The purpose of this policy is to provide a process for redress of grievance between a student and faculty member concerning a final grade in a course taken at Cheyney University.</w:t>
            </w:r>
            <w:r w:rsidR="0007133B" w:rsidRPr="00AF6B13">
              <w:rPr>
                <w:rFonts w:ascii="Arial" w:hAnsi="Arial" w:cs="Arial"/>
                <w:sz w:val="28"/>
                <w:szCs w:val="28"/>
              </w:rPr>
              <w:t xml:space="preserve"> </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07133B" w:rsidP="00484AF7">
            <w:pPr>
              <w:jc w:val="both"/>
              <w:rPr>
                <w:rFonts w:ascii="Arial" w:hAnsi="Arial" w:cs="Arial"/>
                <w:szCs w:val="28"/>
              </w:rPr>
            </w:pPr>
            <w:r w:rsidRPr="0007133B">
              <w:rPr>
                <w:rFonts w:ascii="Arial" w:hAnsi="Arial" w:cs="Arial"/>
                <w:szCs w:val="28"/>
              </w:rPr>
              <w:t>This policy applies to students</w:t>
            </w:r>
            <w:r w:rsidR="00AF6B13">
              <w:rPr>
                <w:rFonts w:ascii="Arial" w:hAnsi="Arial" w:cs="Arial"/>
                <w:szCs w:val="28"/>
              </w:rPr>
              <w:t>.</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3E1A56">
        <w:trPr>
          <w:trHeight w:val="1250"/>
        </w:trPr>
        <w:tc>
          <w:tcPr>
            <w:tcW w:w="10818" w:type="dxa"/>
          </w:tcPr>
          <w:p w:rsidR="00525C4F" w:rsidRPr="00D02899" w:rsidRDefault="005536CD" w:rsidP="00525C4F">
            <w:pPr>
              <w:rPr>
                <w:rFonts w:ascii="Arial" w:hAnsi="Arial" w:cs="Arial"/>
                <w:b/>
                <w:color w:val="0070C0"/>
                <w:sz w:val="28"/>
              </w:rPr>
            </w:pPr>
            <w:r w:rsidRPr="00D02899">
              <w:rPr>
                <w:rFonts w:ascii="Arial" w:hAnsi="Arial" w:cs="Arial"/>
                <w:b/>
                <w:color w:val="0070C0"/>
                <w:sz w:val="28"/>
              </w:rPr>
              <w:t>D. Policy &amp; Procedure(s)</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I. Introduction</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This grade appeal policy provides a process for redress of grievance between a student and a faculty member concerning a final grade in a course taken at Cheyney University. Two important points to be kept in mind concerning the application of this policy are: (1) all uses of the word "grade" in this policy refer to the final grade in a course; (2) the Academic Affairs Council may consider changing the grade to a W (withdraw). Any requests for changes to specific letter grades (for example a change from a D to a C) </w:t>
            </w:r>
            <w:proofErr w:type="gramStart"/>
            <w:r w:rsidRPr="00AF6B13">
              <w:rPr>
                <w:rStyle w:val="normaltextrun"/>
                <w:rFonts w:ascii="Arial" w:hAnsi="Arial" w:cs="Arial"/>
                <w:szCs w:val="22"/>
              </w:rPr>
              <w:t>would not be considered</w:t>
            </w:r>
            <w:proofErr w:type="gramEnd"/>
            <w:r w:rsidRPr="00AF6B13">
              <w:rPr>
                <w:rStyle w:val="normaltextrun"/>
                <w:rFonts w:ascii="Arial" w:hAnsi="Arial" w:cs="Arial"/>
                <w:szCs w:val="22"/>
              </w:rPr>
              <w:t xml:space="preserve"> by the AAC.  All academic rights and privileges of faculty members are to </w:t>
            </w:r>
            <w:proofErr w:type="gramStart"/>
            <w:r w:rsidRPr="00AF6B13">
              <w:rPr>
                <w:rStyle w:val="normaltextrun"/>
                <w:rFonts w:ascii="Arial" w:hAnsi="Arial" w:cs="Arial"/>
                <w:szCs w:val="22"/>
              </w:rPr>
              <w:t>be honored</w:t>
            </w:r>
            <w:proofErr w:type="gramEnd"/>
            <w:r w:rsidRPr="00AF6B13">
              <w:rPr>
                <w:rStyle w:val="normaltextrun"/>
                <w:rFonts w:ascii="Arial" w:hAnsi="Arial" w:cs="Arial"/>
                <w:szCs w:val="22"/>
              </w:rPr>
              <w:t xml:space="preserve"> in this process, and changes in final course grades are to be made only when there is clear evidence of unsubstantiated academic evaluation. Students shall not suffer academic recrimination because of participation in this procedure.</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 xml:space="preserve">If a grade change appeal is not resolved during the preliminary steps of this procedure, and the student wishes to pursue further an appeal for a change of grade, the student may file a Grade Appeal Petition (see Section III.C.) This petition </w:t>
            </w:r>
            <w:proofErr w:type="gramStart"/>
            <w:r w:rsidRPr="00AF6B13">
              <w:rPr>
                <w:rStyle w:val="normaltextrun"/>
                <w:rFonts w:ascii="Arial" w:hAnsi="Arial" w:cs="Arial"/>
                <w:szCs w:val="22"/>
              </w:rPr>
              <w:t>must be filed</w:t>
            </w:r>
            <w:proofErr w:type="gramEnd"/>
            <w:r w:rsidRPr="00AF6B13">
              <w:rPr>
                <w:rStyle w:val="normaltextrun"/>
                <w:rFonts w:ascii="Arial" w:hAnsi="Arial" w:cs="Arial"/>
                <w:szCs w:val="22"/>
              </w:rPr>
              <w:t xml:space="preserve"> no later than the end of the ninth week of the next regular semester.</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II. Preliminary Steps</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In both the preliminary steps outlined here and, in the step involving the Academic Affairs Council, the only issue under consideration will be whether the student can present evidence that his or her final grade reflects unsubstantiated academic evaluation by the faculty member. In pursuing a grade change appeal, the student will proceed as follows:</w:t>
            </w:r>
          </w:p>
          <w:p w:rsidR="00AF6B13" w:rsidRPr="00AF6B13" w:rsidRDefault="00AF6B13" w:rsidP="00AF6B13">
            <w:pPr>
              <w:pStyle w:val="paragraph"/>
              <w:spacing w:before="0" w:beforeAutospacing="0" w:after="0" w:afterAutospacing="0"/>
              <w:textAlignment w:val="baseline"/>
              <w:rPr>
                <w:rFonts w:ascii="Arial" w:hAnsi="Arial" w:cs="Arial"/>
                <w:sz w:val="20"/>
                <w:szCs w:val="18"/>
              </w:rPr>
            </w:pPr>
            <w:r w:rsidRPr="00AF6B13">
              <w:rPr>
                <w:rStyle w:val="normaltextrun"/>
                <w:rFonts w:ascii="Arial" w:hAnsi="Arial" w:cs="Arial"/>
                <w:szCs w:val="22"/>
              </w:rPr>
              <w:t>A. The student shall first discuss the matter with the faculty member directly involved to resolve the matter. The faculty member shall have one week to change the grade or forward the matter to their department chair.</w:t>
            </w:r>
            <w:r w:rsidRPr="00AF6B13">
              <w:rPr>
                <w:rStyle w:val="eop"/>
                <w:rFonts w:ascii="Arial" w:hAnsi="Arial" w:cs="Arial"/>
                <w:szCs w:val="22"/>
              </w:rPr>
              <w:t> </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lastRenderedPageBreak/>
              <w:t xml:space="preserve">B. If there is no resolution with the faculty member, the student shall discuss the matter with the chairperson of the faculty member's department. The department chair shall have one week after meeting with the student to make recommendations, after which the appeal </w:t>
            </w:r>
            <w:proofErr w:type="gramStart"/>
            <w:r w:rsidRPr="00AF6B13">
              <w:rPr>
                <w:rStyle w:val="normaltextrun"/>
                <w:rFonts w:ascii="Arial" w:hAnsi="Arial" w:cs="Arial"/>
                <w:szCs w:val="22"/>
              </w:rPr>
              <w:t>shall be forwarded</w:t>
            </w:r>
            <w:proofErr w:type="gramEnd"/>
            <w:r w:rsidRPr="00AF6B13">
              <w:rPr>
                <w:rStyle w:val="normaltextrun"/>
                <w:rFonts w:ascii="Arial" w:hAnsi="Arial" w:cs="Arial"/>
                <w:szCs w:val="22"/>
              </w:rPr>
              <w:t xml:space="preserve"> to the dean. If the department chairperson is the person who gave the grade, the appeal </w:t>
            </w:r>
            <w:proofErr w:type="gramStart"/>
            <w:r w:rsidRPr="00AF6B13">
              <w:rPr>
                <w:rStyle w:val="normaltextrun"/>
                <w:rFonts w:ascii="Arial" w:hAnsi="Arial" w:cs="Arial"/>
                <w:szCs w:val="22"/>
              </w:rPr>
              <w:t>shall be forwarded</w:t>
            </w:r>
            <w:proofErr w:type="gramEnd"/>
            <w:r w:rsidRPr="00AF6B13">
              <w:rPr>
                <w:rStyle w:val="normaltextrun"/>
                <w:rFonts w:ascii="Arial" w:hAnsi="Arial" w:cs="Arial"/>
                <w:szCs w:val="22"/>
              </w:rPr>
              <w:t xml:space="preserve"> directly to the dean (see C.). </w:t>
            </w:r>
            <w:r w:rsidRPr="00AF6B13">
              <w:rPr>
                <w:rStyle w:val="eop"/>
                <w:rFonts w:ascii="Arial" w:hAnsi="Arial" w:cs="Arial"/>
                <w:szCs w:val="22"/>
              </w:rPr>
              <w:t> </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 xml:space="preserve">C. If there is no resolution through the department </w:t>
            </w:r>
            <w:proofErr w:type="gramStart"/>
            <w:r w:rsidRPr="00AF6B13">
              <w:rPr>
                <w:rStyle w:val="normaltextrun"/>
                <w:rFonts w:ascii="Arial" w:hAnsi="Arial" w:cs="Arial"/>
                <w:szCs w:val="22"/>
              </w:rPr>
              <w:t>chairperson,</w:t>
            </w:r>
            <w:proofErr w:type="gramEnd"/>
            <w:r w:rsidRPr="00AF6B13">
              <w:rPr>
                <w:rStyle w:val="normaltextrun"/>
                <w:rFonts w:ascii="Arial" w:hAnsi="Arial" w:cs="Arial"/>
                <w:szCs w:val="22"/>
              </w:rPr>
              <w:t xml:space="preserve"> the student shall discuss the matter with the dean, who shall attempt to resolve the matter after consideration of the evidence. </w:t>
            </w:r>
            <w:r w:rsidRPr="00AF6B13">
              <w:rPr>
                <w:rStyle w:val="eop"/>
                <w:rFonts w:ascii="Arial" w:hAnsi="Arial" w:cs="Arial"/>
                <w:szCs w:val="22"/>
              </w:rPr>
              <w:t> </w:t>
            </w:r>
          </w:p>
          <w:p w:rsidR="00AF6B13" w:rsidRPr="00AF6B13" w:rsidRDefault="00AF6B13" w:rsidP="00484AF7">
            <w:pPr>
              <w:pStyle w:val="paragraph"/>
              <w:spacing w:before="0" w:beforeAutospacing="0" w:after="0" w:afterAutospacing="0"/>
              <w:jc w:val="both"/>
              <w:textAlignment w:val="baseline"/>
              <w:rPr>
                <w:rFonts w:ascii="Arial" w:hAnsi="Arial" w:cs="Arial"/>
                <w:sz w:val="20"/>
                <w:szCs w:val="18"/>
              </w:rPr>
            </w:pPr>
            <w:r w:rsidRPr="00AF6B13">
              <w:rPr>
                <w:rStyle w:val="normaltextrun"/>
                <w:rFonts w:ascii="Arial" w:hAnsi="Arial" w:cs="Arial"/>
                <w:szCs w:val="22"/>
              </w:rPr>
              <w:t xml:space="preserve">D. If the above steps do not lead to resolution, the appeal </w:t>
            </w:r>
            <w:proofErr w:type="gramStart"/>
            <w:r w:rsidRPr="00AF6B13">
              <w:rPr>
                <w:rStyle w:val="normaltextrun"/>
                <w:rFonts w:ascii="Arial" w:hAnsi="Arial" w:cs="Arial"/>
                <w:szCs w:val="22"/>
              </w:rPr>
              <w:t>will be referred</w:t>
            </w:r>
            <w:proofErr w:type="gramEnd"/>
            <w:r w:rsidRPr="00AF6B13">
              <w:rPr>
                <w:rStyle w:val="normaltextrun"/>
                <w:rFonts w:ascii="Arial" w:hAnsi="Arial" w:cs="Arial"/>
                <w:szCs w:val="22"/>
              </w:rPr>
              <w:t xml:space="preserve"> to the Academic Affairs Council for final consideration. The AAC has the option to either let the grade stand or change it to a W (withdraw).  The decision of the Academic Affairs Council is final.</w:t>
            </w:r>
            <w:r w:rsidRPr="00AF6B13">
              <w:rPr>
                <w:rStyle w:val="eop"/>
                <w:rFonts w:ascii="Arial" w:hAnsi="Arial" w:cs="Arial"/>
                <w:szCs w:val="22"/>
              </w:rPr>
              <w:t> </w:t>
            </w:r>
          </w:p>
          <w:p w:rsidR="0007133B" w:rsidRPr="0007133B" w:rsidRDefault="0007133B" w:rsidP="00484AF7">
            <w:pPr>
              <w:pStyle w:val="ListParagraph"/>
              <w:jc w:val="both"/>
              <w:rPr>
                <w:rFonts w:ascii="Arial" w:hAnsi="Arial" w:cs="Arial"/>
              </w:rPr>
            </w:pPr>
            <w:r w:rsidRPr="00AF6B13">
              <w:rPr>
                <w:rFonts w:ascii="Arial" w:hAnsi="Arial" w:cs="Arial"/>
                <w:sz w:val="24"/>
              </w:rPr>
              <w:t xml:space="preserve"> </w:t>
            </w: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DD5A45" w:rsidP="00DD5A45">
            <w:pPr>
              <w:jc w:val="center"/>
              <w:rPr>
                <w:rFonts w:ascii="Arial" w:hAnsi="Arial" w:cs="Arial"/>
              </w:rPr>
            </w:pPr>
            <w:r>
              <w:rPr>
                <w:rFonts w:ascii="Arial" w:hAnsi="Arial" w:cs="Arial"/>
              </w:rPr>
              <w:t>10</w:t>
            </w:r>
            <w:r w:rsidR="008F4CED">
              <w:rPr>
                <w:rFonts w:ascii="Arial" w:hAnsi="Arial" w:cs="Arial"/>
              </w:rPr>
              <w:t>/</w:t>
            </w:r>
            <w:r w:rsidR="00AF6B13">
              <w:rPr>
                <w:rFonts w:ascii="Arial" w:hAnsi="Arial" w:cs="Arial"/>
              </w:rPr>
              <w:t>5</w:t>
            </w:r>
            <w:r w:rsidR="008F4CED">
              <w:rPr>
                <w:rFonts w:ascii="Arial" w:hAnsi="Arial" w:cs="Arial"/>
              </w:rPr>
              <w:t>/18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AF6B13" w:rsidP="00610288">
            <w:pPr>
              <w:jc w:val="center"/>
              <w:rPr>
                <w:rFonts w:ascii="Arial" w:hAnsi="Arial" w:cs="Arial"/>
              </w:rPr>
            </w:pPr>
            <w:r>
              <w:rPr>
                <w:rFonts w:ascii="Arial" w:hAnsi="Arial" w:cs="Arial"/>
              </w:rPr>
              <w:t>10/8</w:t>
            </w:r>
            <w:r w:rsidR="00610288">
              <w:rPr>
                <w:rFonts w:ascii="Arial" w:hAnsi="Arial" w:cs="Arial"/>
              </w:rPr>
              <w:t>/18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p>
        </w:tc>
      </w:tr>
    </w:tbl>
    <w:p w:rsidR="00B1337D" w:rsidRPr="00D21B5E" w:rsidRDefault="00B1337D" w:rsidP="003E1A56">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55" w:rsidRDefault="00536B55">
      <w:r>
        <w:separator/>
      </w:r>
    </w:p>
  </w:endnote>
  <w:endnote w:type="continuationSeparator" w:id="0">
    <w:p w:rsidR="00536B55" w:rsidRDefault="0053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484AF7">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484AF7">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55" w:rsidRDefault="00536B55">
      <w:r>
        <w:separator/>
      </w:r>
    </w:p>
  </w:footnote>
  <w:footnote w:type="continuationSeparator" w:id="0">
    <w:p w:rsidR="00536B55" w:rsidRDefault="0053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-266700</wp:posOffset>
              </wp:positionV>
              <wp:extent cx="2040890" cy="6953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9532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AF6B13">
                            <w:rPr>
                              <w:rFonts w:ascii="Times New Roman" w:hAnsi="Times New Roman"/>
                              <w:b/>
                              <w:sz w:val="40"/>
                              <w:szCs w:val="40"/>
                            </w:rP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9.75pt;margin-top:-21pt;width:160.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6iJwIAAFA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w:t>
                    </w:r>
                    <w:r w:rsidR="00AF6B13">
                      <w:rPr>
                        <w:rFonts w:ascii="Times New Roman" w:hAnsi="Times New Roman"/>
                        <w:b/>
                        <w:sz w:val="40"/>
                        <w:szCs w:val="40"/>
                      </w:rP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5FA7"/>
    <w:multiLevelType w:val="hybridMultilevel"/>
    <w:tmpl w:val="6ABC2186"/>
    <w:lvl w:ilvl="0" w:tplc="2EE43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337B5"/>
    <w:multiLevelType w:val="hybridMultilevel"/>
    <w:tmpl w:val="DD72EF0E"/>
    <w:lvl w:ilvl="0" w:tplc="A23681B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30DF9"/>
    <w:multiLevelType w:val="hybridMultilevel"/>
    <w:tmpl w:val="D1C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F33E2"/>
    <w:multiLevelType w:val="hybridMultilevel"/>
    <w:tmpl w:val="9D4C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122C39"/>
    <w:multiLevelType w:val="hybridMultilevel"/>
    <w:tmpl w:val="2352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0"/>
  </w:num>
  <w:num w:numId="4">
    <w:abstractNumId w:val="22"/>
  </w:num>
  <w:num w:numId="5">
    <w:abstractNumId w:val="5"/>
  </w:num>
  <w:num w:numId="6">
    <w:abstractNumId w:val="1"/>
  </w:num>
  <w:num w:numId="7">
    <w:abstractNumId w:val="16"/>
  </w:num>
  <w:num w:numId="8">
    <w:abstractNumId w:val="11"/>
  </w:num>
  <w:num w:numId="9">
    <w:abstractNumId w:val="13"/>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
  </w:num>
  <w:num w:numId="14">
    <w:abstractNumId w:val="2"/>
  </w:num>
  <w:num w:numId="15">
    <w:abstractNumId w:val="15"/>
  </w:num>
  <w:num w:numId="16">
    <w:abstractNumId w:val="4"/>
  </w:num>
  <w:num w:numId="17">
    <w:abstractNumId w:val="8"/>
  </w:num>
  <w:num w:numId="18">
    <w:abstractNumId w:val="21"/>
  </w:num>
  <w:num w:numId="19">
    <w:abstractNumId w:val="17"/>
  </w:num>
  <w:num w:numId="20">
    <w:abstractNumId w:val="10"/>
  </w:num>
  <w:num w:numId="21">
    <w:abstractNumId w:val="7"/>
  </w:num>
  <w:num w:numId="22">
    <w:abstractNumId w:val="3"/>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7133B"/>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9090C"/>
    <w:rsid w:val="0039793B"/>
    <w:rsid w:val="003A57BB"/>
    <w:rsid w:val="003D4004"/>
    <w:rsid w:val="003E1A56"/>
    <w:rsid w:val="003F64AE"/>
    <w:rsid w:val="003F769A"/>
    <w:rsid w:val="003F7FB9"/>
    <w:rsid w:val="00423A0F"/>
    <w:rsid w:val="00442BAA"/>
    <w:rsid w:val="00476FA3"/>
    <w:rsid w:val="00477627"/>
    <w:rsid w:val="00484AF7"/>
    <w:rsid w:val="004B3301"/>
    <w:rsid w:val="004C31DA"/>
    <w:rsid w:val="004C5905"/>
    <w:rsid w:val="004D187E"/>
    <w:rsid w:val="004D323D"/>
    <w:rsid w:val="004D35C6"/>
    <w:rsid w:val="004E44D3"/>
    <w:rsid w:val="005032F7"/>
    <w:rsid w:val="00520B90"/>
    <w:rsid w:val="00525C4F"/>
    <w:rsid w:val="00534E7B"/>
    <w:rsid w:val="00536B55"/>
    <w:rsid w:val="005536CD"/>
    <w:rsid w:val="00576BCB"/>
    <w:rsid w:val="005A4270"/>
    <w:rsid w:val="00610288"/>
    <w:rsid w:val="00625D01"/>
    <w:rsid w:val="00644BB6"/>
    <w:rsid w:val="0064500A"/>
    <w:rsid w:val="00655203"/>
    <w:rsid w:val="00664CEB"/>
    <w:rsid w:val="006B42A9"/>
    <w:rsid w:val="006B6A16"/>
    <w:rsid w:val="006C5D4E"/>
    <w:rsid w:val="006E5BDF"/>
    <w:rsid w:val="00716A59"/>
    <w:rsid w:val="007200D0"/>
    <w:rsid w:val="00736F2F"/>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4296A"/>
    <w:rsid w:val="009507EE"/>
    <w:rsid w:val="00964B4C"/>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AF6B13"/>
    <w:rsid w:val="00B024F8"/>
    <w:rsid w:val="00B130D5"/>
    <w:rsid w:val="00B1337D"/>
    <w:rsid w:val="00B43FC1"/>
    <w:rsid w:val="00B52479"/>
    <w:rsid w:val="00B57114"/>
    <w:rsid w:val="00B57173"/>
    <w:rsid w:val="00B80F43"/>
    <w:rsid w:val="00B8158A"/>
    <w:rsid w:val="00B9387C"/>
    <w:rsid w:val="00B95A26"/>
    <w:rsid w:val="00BA326F"/>
    <w:rsid w:val="00BD1278"/>
    <w:rsid w:val="00C47CD9"/>
    <w:rsid w:val="00C750D2"/>
    <w:rsid w:val="00C86999"/>
    <w:rsid w:val="00CE07C4"/>
    <w:rsid w:val="00CE0E4B"/>
    <w:rsid w:val="00CF25E6"/>
    <w:rsid w:val="00D02899"/>
    <w:rsid w:val="00D21B5E"/>
    <w:rsid w:val="00D3021E"/>
    <w:rsid w:val="00D54C76"/>
    <w:rsid w:val="00D5552C"/>
    <w:rsid w:val="00D753C6"/>
    <w:rsid w:val="00DC74AC"/>
    <w:rsid w:val="00DD3376"/>
    <w:rsid w:val="00DD3B27"/>
    <w:rsid w:val="00DD5A45"/>
    <w:rsid w:val="00E14216"/>
    <w:rsid w:val="00E16B0D"/>
    <w:rsid w:val="00E2019E"/>
    <w:rsid w:val="00E26453"/>
    <w:rsid w:val="00E35931"/>
    <w:rsid w:val="00E518AC"/>
    <w:rsid w:val="00E71581"/>
    <w:rsid w:val="00EA6644"/>
    <w:rsid w:val="00EC7F98"/>
    <w:rsid w:val="00ED6FA5"/>
    <w:rsid w:val="00ED75B5"/>
    <w:rsid w:val="00F10D0C"/>
    <w:rsid w:val="00F536C5"/>
    <w:rsid w:val="00F96957"/>
    <w:rsid w:val="00F97D76"/>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3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5C4F"/>
    <w:pPr>
      <w:widowControl w:val="0"/>
      <w:autoSpaceDE w:val="0"/>
      <w:autoSpaceDN w:val="0"/>
      <w:ind w:left="110"/>
    </w:pPr>
    <w:rPr>
      <w:rFonts w:ascii="Calibri" w:eastAsia="Calibri" w:hAnsi="Calibri" w:cs="Calibri"/>
      <w:sz w:val="22"/>
      <w:szCs w:val="22"/>
      <w:lang w:bidi="en-US"/>
    </w:rPr>
  </w:style>
  <w:style w:type="paragraph" w:customStyle="1" w:styleId="p1">
    <w:name w:val="p1"/>
    <w:basedOn w:val="Normal"/>
    <w:rsid w:val="00525C4F"/>
    <w:rPr>
      <w:rFonts w:ascii="Times" w:eastAsiaTheme="minorHAnsi" w:hAnsi="Times"/>
      <w:sz w:val="15"/>
      <w:szCs w:val="15"/>
    </w:rPr>
  </w:style>
  <w:style w:type="character" w:customStyle="1" w:styleId="apple-converted-space">
    <w:name w:val="apple-converted-space"/>
    <w:basedOn w:val="DefaultParagraphFont"/>
    <w:rsid w:val="00525C4F"/>
  </w:style>
  <w:style w:type="paragraph" w:customStyle="1" w:styleId="p2">
    <w:name w:val="p2"/>
    <w:basedOn w:val="Normal"/>
    <w:rsid w:val="00525C4F"/>
    <w:pPr>
      <w:ind w:left="75"/>
    </w:pPr>
    <w:rPr>
      <w:rFonts w:ascii="Times New Roman" w:eastAsiaTheme="minorHAnsi" w:hAnsi="Times New Roman"/>
      <w:sz w:val="21"/>
      <w:szCs w:val="21"/>
    </w:rPr>
  </w:style>
  <w:style w:type="character" w:customStyle="1" w:styleId="normaltextrun">
    <w:name w:val="normaltextrun"/>
    <w:basedOn w:val="DefaultParagraphFont"/>
    <w:rsid w:val="00AF6B13"/>
  </w:style>
  <w:style w:type="paragraph" w:customStyle="1" w:styleId="paragraph">
    <w:name w:val="paragraph"/>
    <w:basedOn w:val="Normal"/>
    <w:rsid w:val="00AF6B13"/>
    <w:pPr>
      <w:spacing w:before="100" w:beforeAutospacing="1" w:after="100" w:afterAutospacing="1"/>
    </w:pPr>
    <w:rPr>
      <w:rFonts w:ascii="Times New Roman" w:hAnsi="Times New Roman"/>
    </w:rPr>
  </w:style>
  <w:style w:type="character" w:customStyle="1" w:styleId="eop">
    <w:name w:val="eop"/>
    <w:basedOn w:val="DefaultParagraphFont"/>
    <w:rsid w:val="00AF6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8134">
      <w:bodyDiv w:val="1"/>
      <w:marLeft w:val="0"/>
      <w:marRight w:val="0"/>
      <w:marTop w:val="0"/>
      <w:marBottom w:val="0"/>
      <w:divBdr>
        <w:top w:val="none" w:sz="0" w:space="0" w:color="auto"/>
        <w:left w:val="none" w:sz="0" w:space="0" w:color="auto"/>
        <w:bottom w:val="none" w:sz="0" w:space="0" w:color="auto"/>
        <w:right w:val="none" w:sz="0" w:space="0" w:color="auto"/>
      </w:divBdr>
      <w:divsChild>
        <w:div w:id="1475753152">
          <w:marLeft w:val="0"/>
          <w:marRight w:val="0"/>
          <w:marTop w:val="0"/>
          <w:marBottom w:val="0"/>
          <w:divBdr>
            <w:top w:val="none" w:sz="0" w:space="0" w:color="auto"/>
            <w:left w:val="none" w:sz="0" w:space="0" w:color="auto"/>
            <w:bottom w:val="none" w:sz="0" w:space="0" w:color="auto"/>
            <w:right w:val="none" w:sz="0" w:space="0" w:color="auto"/>
          </w:divBdr>
        </w:div>
        <w:div w:id="1111054037">
          <w:marLeft w:val="0"/>
          <w:marRight w:val="0"/>
          <w:marTop w:val="0"/>
          <w:marBottom w:val="0"/>
          <w:divBdr>
            <w:top w:val="none" w:sz="0" w:space="0" w:color="auto"/>
            <w:left w:val="none" w:sz="0" w:space="0" w:color="auto"/>
            <w:bottom w:val="none" w:sz="0" w:space="0" w:color="auto"/>
            <w:right w:val="none" w:sz="0" w:space="0" w:color="auto"/>
          </w:divBdr>
        </w:div>
        <w:div w:id="1174998223">
          <w:marLeft w:val="0"/>
          <w:marRight w:val="0"/>
          <w:marTop w:val="0"/>
          <w:marBottom w:val="0"/>
          <w:divBdr>
            <w:top w:val="none" w:sz="0" w:space="0" w:color="auto"/>
            <w:left w:val="none" w:sz="0" w:space="0" w:color="auto"/>
            <w:bottom w:val="none" w:sz="0" w:space="0" w:color="auto"/>
            <w:right w:val="none" w:sz="0" w:space="0" w:color="auto"/>
          </w:divBdr>
        </w:div>
        <w:div w:id="1966886820">
          <w:marLeft w:val="0"/>
          <w:marRight w:val="0"/>
          <w:marTop w:val="0"/>
          <w:marBottom w:val="0"/>
          <w:divBdr>
            <w:top w:val="none" w:sz="0" w:space="0" w:color="auto"/>
            <w:left w:val="none" w:sz="0" w:space="0" w:color="auto"/>
            <w:bottom w:val="none" w:sz="0" w:space="0" w:color="auto"/>
            <w:right w:val="none" w:sz="0" w:space="0" w:color="auto"/>
          </w:divBdr>
        </w:div>
        <w:div w:id="1850441146">
          <w:marLeft w:val="0"/>
          <w:marRight w:val="0"/>
          <w:marTop w:val="0"/>
          <w:marBottom w:val="0"/>
          <w:divBdr>
            <w:top w:val="none" w:sz="0" w:space="0" w:color="auto"/>
            <w:left w:val="none" w:sz="0" w:space="0" w:color="auto"/>
            <w:bottom w:val="none" w:sz="0" w:space="0" w:color="auto"/>
            <w:right w:val="none" w:sz="0" w:space="0" w:color="auto"/>
          </w:divBdr>
        </w:div>
        <w:div w:id="40061552">
          <w:marLeft w:val="0"/>
          <w:marRight w:val="0"/>
          <w:marTop w:val="0"/>
          <w:marBottom w:val="0"/>
          <w:divBdr>
            <w:top w:val="none" w:sz="0" w:space="0" w:color="auto"/>
            <w:left w:val="none" w:sz="0" w:space="0" w:color="auto"/>
            <w:bottom w:val="none" w:sz="0" w:space="0" w:color="auto"/>
            <w:right w:val="none" w:sz="0" w:space="0" w:color="auto"/>
          </w:divBdr>
        </w:div>
        <w:div w:id="1015768708">
          <w:marLeft w:val="0"/>
          <w:marRight w:val="0"/>
          <w:marTop w:val="0"/>
          <w:marBottom w:val="0"/>
          <w:divBdr>
            <w:top w:val="none" w:sz="0" w:space="0" w:color="auto"/>
            <w:left w:val="none" w:sz="0" w:space="0" w:color="auto"/>
            <w:bottom w:val="none" w:sz="0" w:space="0" w:color="auto"/>
            <w:right w:val="none" w:sz="0" w:space="0" w:color="auto"/>
          </w:divBdr>
        </w:div>
        <w:div w:id="2145194219">
          <w:marLeft w:val="0"/>
          <w:marRight w:val="0"/>
          <w:marTop w:val="0"/>
          <w:marBottom w:val="0"/>
          <w:divBdr>
            <w:top w:val="none" w:sz="0" w:space="0" w:color="auto"/>
            <w:left w:val="none" w:sz="0" w:space="0" w:color="auto"/>
            <w:bottom w:val="none" w:sz="0" w:space="0" w:color="auto"/>
            <w:right w:val="none" w:sz="0" w:space="0" w:color="auto"/>
          </w:divBdr>
        </w:div>
        <w:div w:id="616720456">
          <w:marLeft w:val="0"/>
          <w:marRight w:val="0"/>
          <w:marTop w:val="0"/>
          <w:marBottom w:val="0"/>
          <w:divBdr>
            <w:top w:val="none" w:sz="0" w:space="0" w:color="auto"/>
            <w:left w:val="none" w:sz="0" w:space="0" w:color="auto"/>
            <w:bottom w:val="none" w:sz="0" w:space="0" w:color="auto"/>
            <w:right w:val="none" w:sz="0" w:space="0" w:color="auto"/>
          </w:divBdr>
        </w:div>
        <w:div w:id="1224372005">
          <w:marLeft w:val="0"/>
          <w:marRight w:val="0"/>
          <w:marTop w:val="0"/>
          <w:marBottom w:val="0"/>
          <w:divBdr>
            <w:top w:val="none" w:sz="0" w:space="0" w:color="auto"/>
            <w:left w:val="none" w:sz="0" w:space="0" w:color="auto"/>
            <w:bottom w:val="none" w:sz="0" w:space="0" w:color="auto"/>
            <w:right w:val="none" w:sz="0" w:space="0" w:color="auto"/>
          </w:divBdr>
        </w:div>
      </w:divsChild>
    </w:div>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2.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3.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D59B6E40-0B06-4778-8A2C-68DF7CC7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3412</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2018-10-09T17:43:00Z</dcterms:created>
  <dcterms:modified xsi:type="dcterms:W3CDTF">2018-10-09T17:44:00Z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